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5" w:rsidRDefault="00D57015" w:rsidP="00894F7E">
      <w:pPr>
        <w:ind w:right="14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F171C4C" wp14:editId="64A591FC">
            <wp:extent cx="4050505" cy="231457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o-trasparent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577" cy="232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4A0" w:rsidRPr="008F24A0" w:rsidRDefault="008F24A0" w:rsidP="008F24A0">
      <w:pPr>
        <w:spacing w:after="0" w:line="240" w:lineRule="auto"/>
        <w:ind w:right="-1"/>
        <w:jc w:val="center"/>
        <w:rPr>
          <w:rFonts w:ascii="Verdana" w:hAnsi="Verdana"/>
          <w:b/>
          <w:color w:val="FF0000"/>
          <w:sz w:val="28"/>
          <w:szCs w:val="28"/>
        </w:rPr>
      </w:pPr>
      <w:r w:rsidRPr="008F24A0">
        <w:rPr>
          <w:rFonts w:ascii="Verdana" w:hAnsi="Verdana"/>
          <w:b/>
          <w:color w:val="FF0000"/>
          <w:sz w:val="28"/>
          <w:szCs w:val="28"/>
          <w:highlight w:val="yellow"/>
        </w:rPr>
        <w:t>EMBARGO ORE 1</w:t>
      </w:r>
      <w:r w:rsidRPr="008F24A0">
        <w:rPr>
          <w:rFonts w:ascii="Verdana" w:hAnsi="Verdana"/>
          <w:b/>
          <w:color w:val="FF0000"/>
          <w:sz w:val="28"/>
          <w:szCs w:val="28"/>
          <w:highlight w:val="yellow"/>
        </w:rPr>
        <w:t>1.0</w:t>
      </w:r>
      <w:r w:rsidRPr="008F24A0">
        <w:rPr>
          <w:rFonts w:ascii="Verdana" w:hAnsi="Verdana"/>
          <w:b/>
          <w:color w:val="FF0000"/>
          <w:sz w:val="28"/>
          <w:szCs w:val="28"/>
          <w:highlight w:val="yellow"/>
        </w:rPr>
        <w:t xml:space="preserve">0 DEL </w:t>
      </w:r>
      <w:r w:rsidRPr="008F24A0">
        <w:rPr>
          <w:rFonts w:ascii="Verdana" w:hAnsi="Verdana"/>
          <w:b/>
          <w:color w:val="FF0000"/>
          <w:sz w:val="28"/>
          <w:szCs w:val="28"/>
          <w:highlight w:val="yellow"/>
        </w:rPr>
        <w:t>20 APRILE 2022</w:t>
      </w:r>
    </w:p>
    <w:p w:rsidR="008F24A0" w:rsidRDefault="008F24A0" w:rsidP="00894F7E">
      <w:pPr>
        <w:ind w:right="140"/>
        <w:jc w:val="center"/>
        <w:rPr>
          <w:rFonts w:ascii="Verdana" w:hAnsi="Verdana"/>
          <w:b/>
          <w:bCs/>
          <w:sz w:val="26"/>
          <w:szCs w:val="26"/>
        </w:rPr>
      </w:pPr>
      <w:bookmarkStart w:id="0" w:name="_GoBack"/>
      <w:bookmarkEnd w:id="0"/>
    </w:p>
    <w:p w:rsidR="00894F7E" w:rsidRPr="006D6FC2" w:rsidRDefault="00894F7E" w:rsidP="00894F7E">
      <w:pPr>
        <w:ind w:right="140"/>
        <w:jc w:val="center"/>
        <w:rPr>
          <w:rFonts w:ascii="Verdana" w:hAnsi="Verdana"/>
          <w:b/>
          <w:bCs/>
          <w:sz w:val="26"/>
          <w:szCs w:val="26"/>
        </w:rPr>
      </w:pPr>
      <w:r w:rsidRPr="006D6FC2">
        <w:rPr>
          <w:rFonts w:ascii="Verdana" w:hAnsi="Verdana"/>
          <w:b/>
          <w:bCs/>
          <w:sz w:val="26"/>
          <w:szCs w:val="26"/>
        </w:rPr>
        <w:t>INDAGINE CONFCOMMERCIO SU USURA E FENOMENI ILLEGALI</w:t>
      </w:r>
    </w:p>
    <w:p w:rsidR="00894F7E" w:rsidRPr="000E28D5" w:rsidRDefault="00894F7E" w:rsidP="00894F7E">
      <w:pPr>
        <w:ind w:right="140"/>
        <w:jc w:val="center"/>
        <w:rPr>
          <w:rFonts w:ascii="Verdana" w:hAnsi="Verdana"/>
          <w:b/>
          <w:bCs/>
          <w:sz w:val="26"/>
          <w:szCs w:val="26"/>
        </w:rPr>
      </w:pPr>
      <w:r w:rsidRPr="000E28D5">
        <w:rPr>
          <w:rFonts w:ascii="Verdana" w:hAnsi="Verdana"/>
          <w:b/>
          <w:bCs/>
          <w:sz w:val="26"/>
          <w:szCs w:val="26"/>
        </w:rPr>
        <w:t>Sintesi dei principali risultati</w:t>
      </w:r>
      <w:r w:rsidR="006D6FC2" w:rsidRPr="000E28D5">
        <w:rPr>
          <w:rFonts w:ascii="Verdana" w:hAnsi="Verdana"/>
          <w:b/>
          <w:bCs/>
          <w:sz w:val="26"/>
          <w:szCs w:val="26"/>
        </w:rPr>
        <w:t xml:space="preserve"> </w:t>
      </w:r>
    </w:p>
    <w:p w:rsidR="00D36E27" w:rsidRPr="00D57015" w:rsidRDefault="007F1C52" w:rsidP="006D6FC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right="140" w:hanging="425"/>
        <w:jc w:val="both"/>
        <w:rPr>
          <w:rFonts w:ascii="Verdana" w:hAnsi="Verdana"/>
        </w:rPr>
      </w:pPr>
      <w:r w:rsidRPr="00D57015">
        <w:rPr>
          <w:rFonts w:ascii="Verdana" w:hAnsi="Verdana"/>
        </w:rPr>
        <w:t xml:space="preserve">Quasi il 12% delle imprese del terziario di mercato percepisce un peggioramento dei livelli di sicurezza nel 2021. </w:t>
      </w:r>
    </w:p>
    <w:p w:rsidR="00D36E27" w:rsidRPr="00D57015" w:rsidRDefault="00D36E27" w:rsidP="006D6FC2">
      <w:pPr>
        <w:spacing w:after="0" w:line="240" w:lineRule="auto"/>
        <w:ind w:left="567" w:right="140" w:hanging="425"/>
        <w:jc w:val="both"/>
        <w:rPr>
          <w:rFonts w:ascii="Verdana" w:hAnsi="Verdana"/>
        </w:rPr>
      </w:pPr>
    </w:p>
    <w:p w:rsidR="00AF2F7C" w:rsidRPr="00D57015" w:rsidRDefault="007F1C52" w:rsidP="006D6FC2">
      <w:pPr>
        <w:numPr>
          <w:ilvl w:val="0"/>
          <w:numId w:val="2"/>
        </w:numPr>
        <w:spacing w:after="0" w:line="240" w:lineRule="auto"/>
        <w:ind w:left="567" w:right="140" w:hanging="425"/>
        <w:jc w:val="both"/>
        <w:rPr>
          <w:rFonts w:ascii="Verdana" w:hAnsi="Verdana"/>
        </w:rPr>
      </w:pPr>
      <w:r w:rsidRPr="00D57015">
        <w:rPr>
          <w:rFonts w:ascii="Verdana" w:hAnsi="Verdana"/>
        </w:rPr>
        <w:t>L’usura è il fenomeno criminale percepito in maggior aumento dagli imprenditori del te</w:t>
      </w:r>
      <w:r w:rsidR="00D36E27" w:rsidRPr="00D57015">
        <w:rPr>
          <w:rFonts w:ascii="Verdana" w:hAnsi="Verdana"/>
        </w:rPr>
        <w:t>rziario di mercato (per il 27%).</w:t>
      </w:r>
      <w:r w:rsidRPr="00D57015">
        <w:rPr>
          <w:rFonts w:ascii="Verdana" w:hAnsi="Verdana"/>
        </w:rPr>
        <w:t xml:space="preserve"> Il trend è più marcato nelle grandi città e al Sud dove l’usura è indicata in aumento dal 30% delle imprese.</w:t>
      </w:r>
      <w:r w:rsidR="00D36E27" w:rsidRPr="00D57015">
        <w:rPr>
          <w:rFonts w:ascii="Verdana" w:hAnsi="Verdana"/>
        </w:rPr>
        <w:t xml:space="preserve"> Il racket è in crescita per il 21% degli imprenditori.</w:t>
      </w:r>
    </w:p>
    <w:p w:rsidR="00D36E27" w:rsidRPr="00D57015" w:rsidRDefault="00D36E27" w:rsidP="006D6FC2">
      <w:pPr>
        <w:spacing w:after="0" w:line="240" w:lineRule="auto"/>
        <w:ind w:left="567" w:right="140"/>
        <w:jc w:val="both"/>
        <w:rPr>
          <w:rFonts w:ascii="Verdana" w:hAnsi="Verdana"/>
        </w:rPr>
      </w:pPr>
    </w:p>
    <w:p w:rsidR="006D6FC2" w:rsidRPr="00D57015" w:rsidRDefault="00D36E27" w:rsidP="006D6FC2">
      <w:pPr>
        <w:numPr>
          <w:ilvl w:val="0"/>
          <w:numId w:val="2"/>
        </w:numPr>
        <w:spacing w:after="0" w:line="240" w:lineRule="auto"/>
        <w:ind w:left="567" w:right="140" w:hanging="425"/>
        <w:jc w:val="both"/>
        <w:rPr>
          <w:rFonts w:ascii="Verdana" w:hAnsi="Verdana"/>
        </w:rPr>
      </w:pPr>
      <w:r w:rsidRPr="00D57015">
        <w:rPr>
          <w:rFonts w:ascii="Verdana" w:hAnsi="Verdana"/>
        </w:rPr>
        <w:t>L’11% degli imprenditori ha avuto notizia diretta di episodi di usura o estorsione nella propria zona di attività.</w:t>
      </w:r>
    </w:p>
    <w:p w:rsidR="006D6FC2" w:rsidRPr="00D57015" w:rsidRDefault="006D6FC2" w:rsidP="006D6FC2">
      <w:pPr>
        <w:spacing w:after="0" w:line="240" w:lineRule="auto"/>
        <w:ind w:right="140"/>
        <w:jc w:val="both"/>
        <w:rPr>
          <w:rFonts w:ascii="Verdana" w:hAnsi="Verdana"/>
        </w:rPr>
      </w:pPr>
      <w:r w:rsidRPr="00D57015">
        <w:rPr>
          <w:rFonts w:ascii="Verdana" w:hAnsi="Verdana"/>
        </w:rPr>
        <w:t xml:space="preserve"> </w:t>
      </w:r>
    </w:p>
    <w:p w:rsidR="00D36E27" w:rsidRPr="00D57015" w:rsidRDefault="006D6FC2" w:rsidP="006D6FC2">
      <w:pPr>
        <w:numPr>
          <w:ilvl w:val="0"/>
          <w:numId w:val="2"/>
        </w:numPr>
        <w:spacing w:after="0" w:line="240" w:lineRule="auto"/>
        <w:ind w:left="567" w:right="140" w:hanging="425"/>
        <w:jc w:val="both"/>
        <w:rPr>
          <w:rFonts w:ascii="Verdana" w:hAnsi="Verdana"/>
        </w:rPr>
      </w:pPr>
      <w:r w:rsidRPr="00D57015">
        <w:rPr>
          <w:rFonts w:ascii="Verdana" w:hAnsi="Verdana"/>
        </w:rPr>
        <w:t>Il 17,7% degli imprenditori è molto preoccupato per il rischio di esposizione a usura e racket. Un timore che è più elevato nelle grandi città e al Sud.</w:t>
      </w:r>
    </w:p>
    <w:p w:rsidR="00D36E27" w:rsidRPr="00D57015" w:rsidRDefault="00D36E27" w:rsidP="006D6FC2">
      <w:pPr>
        <w:spacing w:after="0" w:line="240" w:lineRule="auto"/>
        <w:ind w:right="140"/>
        <w:jc w:val="both"/>
        <w:rPr>
          <w:rFonts w:ascii="Verdana" w:hAnsi="Verdana"/>
        </w:rPr>
      </w:pPr>
    </w:p>
    <w:p w:rsidR="00D36E27" w:rsidRPr="00D57015" w:rsidRDefault="00D36E27" w:rsidP="006D6FC2">
      <w:pPr>
        <w:numPr>
          <w:ilvl w:val="0"/>
          <w:numId w:val="2"/>
        </w:numPr>
        <w:spacing w:after="0" w:line="240" w:lineRule="auto"/>
        <w:ind w:left="567" w:right="140" w:hanging="425"/>
        <w:jc w:val="both"/>
        <w:rPr>
          <w:rFonts w:ascii="Verdana" w:hAnsi="Verdana"/>
        </w:rPr>
      </w:pPr>
      <w:r w:rsidRPr="00D57015">
        <w:rPr>
          <w:rFonts w:ascii="Verdana" w:hAnsi="Verdana"/>
        </w:rPr>
        <w:t xml:space="preserve">Di fronte all’usura e al racket il 58,4% degli imprenditori ritiene che si dovrebbe denunciare, il 33,6% dichiara che non saprebbe cosa fare,  il 6,4%  pensa di non poter fare nulla. </w:t>
      </w:r>
      <w:r w:rsidR="0094221D" w:rsidRPr="00D57015">
        <w:rPr>
          <w:rFonts w:ascii="Verdana" w:hAnsi="Verdana"/>
        </w:rPr>
        <w:t>I dati sono</w:t>
      </w:r>
      <w:r w:rsidRPr="00D57015">
        <w:rPr>
          <w:rFonts w:ascii="Verdana" w:hAnsi="Verdana"/>
        </w:rPr>
        <w:t xml:space="preserve"> più marcat</w:t>
      </w:r>
      <w:r w:rsidR="0094221D" w:rsidRPr="00D57015">
        <w:rPr>
          <w:rFonts w:ascii="Verdana" w:hAnsi="Verdana"/>
        </w:rPr>
        <w:t>i</w:t>
      </w:r>
      <w:r w:rsidRPr="00D57015">
        <w:rPr>
          <w:rFonts w:ascii="Verdana" w:hAnsi="Verdana"/>
        </w:rPr>
        <w:t xml:space="preserve"> al Sud</w:t>
      </w:r>
      <w:r w:rsidR="00D9799F" w:rsidRPr="00D57015">
        <w:rPr>
          <w:rFonts w:ascii="Verdana" w:hAnsi="Verdana"/>
        </w:rPr>
        <w:t>.</w:t>
      </w:r>
    </w:p>
    <w:p w:rsidR="00894F7E" w:rsidRPr="006D6FC2" w:rsidRDefault="00894F7E" w:rsidP="006D6FC2">
      <w:pPr>
        <w:spacing w:after="0" w:line="240" w:lineRule="auto"/>
        <w:ind w:left="567" w:right="140" w:hanging="425"/>
        <w:jc w:val="both"/>
        <w:rPr>
          <w:rFonts w:ascii="Verdana" w:hAnsi="Verdana"/>
          <w:sz w:val="24"/>
          <w:szCs w:val="24"/>
        </w:rPr>
      </w:pPr>
    </w:p>
    <w:p w:rsidR="00894F7E" w:rsidRPr="006D6FC2" w:rsidRDefault="00894F7E" w:rsidP="006D6FC2">
      <w:pPr>
        <w:spacing w:after="0" w:line="240" w:lineRule="auto"/>
        <w:ind w:left="567" w:right="140" w:hanging="425"/>
        <w:jc w:val="both"/>
        <w:rPr>
          <w:rFonts w:ascii="Verdana" w:hAnsi="Verdana"/>
          <w:sz w:val="24"/>
          <w:szCs w:val="24"/>
        </w:rPr>
      </w:pPr>
    </w:p>
    <w:p w:rsidR="00894F7E" w:rsidRPr="006D6FC2" w:rsidRDefault="00894F7E" w:rsidP="006D6FC2">
      <w:pPr>
        <w:spacing w:after="0" w:line="240" w:lineRule="auto"/>
        <w:ind w:left="567" w:right="140" w:hanging="425"/>
        <w:jc w:val="both"/>
        <w:rPr>
          <w:rFonts w:ascii="Verdana" w:hAnsi="Verdana"/>
          <w:b/>
          <w:sz w:val="24"/>
          <w:szCs w:val="24"/>
        </w:rPr>
      </w:pPr>
      <w:r w:rsidRPr="006D6FC2">
        <w:rPr>
          <w:rFonts w:ascii="Verdana" w:hAnsi="Verdana"/>
          <w:b/>
          <w:sz w:val="24"/>
          <w:szCs w:val="24"/>
        </w:rPr>
        <w:t>Stime Ufficio Studi Confcommercio</w:t>
      </w:r>
    </w:p>
    <w:p w:rsidR="00894F7E" w:rsidRPr="006D6FC2" w:rsidRDefault="00894F7E" w:rsidP="006D6FC2">
      <w:pPr>
        <w:spacing w:after="0" w:line="240" w:lineRule="auto"/>
        <w:ind w:left="567" w:right="140" w:hanging="425"/>
        <w:jc w:val="both"/>
        <w:rPr>
          <w:rFonts w:ascii="Verdana" w:hAnsi="Verdana"/>
          <w:sz w:val="24"/>
          <w:szCs w:val="24"/>
        </w:rPr>
      </w:pPr>
    </w:p>
    <w:p w:rsidR="00894F7E" w:rsidRPr="00D57015" w:rsidRDefault="00D9799F" w:rsidP="000E28D5">
      <w:pPr>
        <w:pStyle w:val="Paragrafoelenco"/>
        <w:numPr>
          <w:ilvl w:val="0"/>
          <w:numId w:val="5"/>
        </w:numPr>
        <w:spacing w:after="0" w:line="240" w:lineRule="auto"/>
        <w:ind w:left="426" w:right="140"/>
        <w:jc w:val="both"/>
        <w:rPr>
          <w:rFonts w:ascii="Verdana" w:hAnsi="Verdana"/>
        </w:rPr>
      </w:pPr>
      <w:r w:rsidRPr="00D57015">
        <w:rPr>
          <w:rFonts w:ascii="Verdana" w:hAnsi="Verdana"/>
        </w:rPr>
        <w:t xml:space="preserve">Almeno </w:t>
      </w:r>
      <w:r w:rsidR="00894F7E" w:rsidRPr="00D57015">
        <w:rPr>
          <w:rFonts w:ascii="Verdana" w:hAnsi="Verdana"/>
        </w:rPr>
        <w:t xml:space="preserve">30mila imprese del commercio, della ristorazione e della ricettività sono oggi ad elevato rischio usura. </w:t>
      </w:r>
    </w:p>
    <w:p w:rsidR="00D367C1" w:rsidRPr="00D57015" w:rsidRDefault="00D367C1" w:rsidP="000E28D5">
      <w:pPr>
        <w:pStyle w:val="Paragrafoelenco"/>
        <w:spacing w:after="0" w:line="240" w:lineRule="auto"/>
        <w:ind w:left="426" w:right="140" w:hanging="425"/>
        <w:jc w:val="both"/>
        <w:rPr>
          <w:rFonts w:ascii="Verdana" w:hAnsi="Verdana"/>
        </w:rPr>
      </w:pPr>
    </w:p>
    <w:p w:rsidR="00894F7E" w:rsidRPr="00D57015" w:rsidRDefault="00D367C1" w:rsidP="0094221D">
      <w:pPr>
        <w:pStyle w:val="Paragrafoelenco"/>
        <w:numPr>
          <w:ilvl w:val="0"/>
          <w:numId w:val="5"/>
        </w:numPr>
        <w:spacing w:after="0" w:line="240" w:lineRule="auto"/>
        <w:ind w:left="426" w:right="-1"/>
        <w:jc w:val="both"/>
        <w:rPr>
          <w:rFonts w:ascii="Verdana" w:hAnsi="Verdana"/>
        </w:rPr>
      </w:pPr>
      <w:r w:rsidRPr="00D57015">
        <w:rPr>
          <w:rFonts w:ascii="Verdana" w:hAnsi="Verdana"/>
        </w:rPr>
        <w:t>L’illegalità costa alle imprese del commercio e dei pubblici esercizi qua</w:t>
      </w:r>
      <w:r w:rsidR="007C2F0B" w:rsidRPr="00D57015">
        <w:rPr>
          <w:rFonts w:ascii="Verdana" w:hAnsi="Verdana"/>
        </w:rPr>
        <w:t>si 31 miliardi</w:t>
      </w:r>
      <w:r w:rsidR="000E28D5" w:rsidRPr="00D57015">
        <w:rPr>
          <w:rFonts w:ascii="Verdana" w:hAnsi="Verdana"/>
        </w:rPr>
        <w:t xml:space="preserve"> di euro </w:t>
      </w:r>
      <w:r w:rsidR="00952AA1" w:rsidRPr="00D57015">
        <w:rPr>
          <w:rFonts w:ascii="Verdana" w:hAnsi="Verdana"/>
        </w:rPr>
        <w:t xml:space="preserve">e </w:t>
      </w:r>
      <w:r w:rsidR="002C2358" w:rsidRPr="00D57015">
        <w:rPr>
          <w:rFonts w:ascii="Verdana" w:hAnsi="Verdana"/>
        </w:rPr>
        <w:t xml:space="preserve">mette a rischio </w:t>
      </w:r>
      <w:r w:rsidR="007F1C52" w:rsidRPr="00D57015">
        <w:rPr>
          <w:rFonts w:ascii="Verdana" w:hAnsi="Verdana"/>
        </w:rPr>
        <w:t>circa</w:t>
      </w:r>
      <w:r w:rsidR="002C2358" w:rsidRPr="00D57015">
        <w:rPr>
          <w:rFonts w:ascii="Verdana" w:hAnsi="Verdana"/>
        </w:rPr>
        <w:t xml:space="preserve"> 200mila posti di lavoro. </w:t>
      </w:r>
      <w:r w:rsidR="000E28D5" w:rsidRPr="00D57015">
        <w:rPr>
          <w:rFonts w:ascii="Verdana" w:hAnsi="Verdana"/>
        </w:rPr>
        <w:t>La perdita annua in termini di fatturato e di valore aggiunto è pari al 6,3%.</w:t>
      </w:r>
      <w:r w:rsidR="00D9799F" w:rsidRPr="00D57015">
        <w:rPr>
          <w:rFonts w:ascii="Verdana" w:hAnsi="Verdana"/>
        </w:rPr>
        <w:t xml:space="preserve"> In dettaglio, l'abusivismo commerciale costa 8,7 miliardi di euro, l'abusivismo nella ristorazione pesa per 4,8 miliardi, la contraffazione </w:t>
      </w:r>
      <w:r w:rsidR="0094221D" w:rsidRPr="00D57015">
        <w:rPr>
          <w:rFonts w:ascii="Verdana" w:hAnsi="Verdana"/>
        </w:rPr>
        <w:t xml:space="preserve">per </w:t>
      </w:r>
      <w:r w:rsidR="00D9799F" w:rsidRPr="00D57015">
        <w:rPr>
          <w:rFonts w:ascii="Verdana" w:hAnsi="Verdana"/>
        </w:rPr>
        <w:t xml:space="preserve">4,1 miliardi, il taccheggio </w:t>
      </w:r>
      <w:r w:rsidR="0094221D" w:rsidRPr="00D57015">
        <w:rPr>
          <w:rFonts w:ascii="Verdana" w:hAnsi="Verdana"/>
        </w:rPr>
        <w:t xml:space="preserve">per </w:t>
      </w:r>
      <w:r w:rsidR="00D9799F" w:rsidRPr="00D57015">
        <w:rPr>
          <w:rFonts w:ascii="Verdana" w:hAnsi="Verdana"/>
        </w:rPr>
        <w:t xml:space="preserve">4,3 miliardi. </w:t>
      </w:r>
      <w:r w:rsidR="0094221D" w:rsidRPr="00D57015">
        <w:rPr>
          <w:rFonts w:ascii="Verdana" w:hAnsi="Verdana"/>
        </w:rPr>
        <w:t>Gli altri</w:t>
      </w:r>
      <w:r w:rsidR="00D9799F" w:rsidRPr="00D57015">
        <w:rPr>
          <w:rFonts w:ascii="Verdana" w:hAnsi="Verdana"/>
        </w:rPr>
        <w:t xml:space="preserve"> costi della criminalità (ferimenti, assicurazioni, spese difensive) </w:t>
      </w:r>
      <w:r w:rsidR="0094221D" w:rsidRPr="00D57015">
        <w:rPr>
          <w:rFonts w:ascii="Verdana" w:hAnsi="Verdana"/>
        </w:rPr>
        <w:t>ammontano a</w:t>
      </w:r>
      <w:r w:rsidR="00D9799F" w:rsidRPr="00D57015">
        <w:rPr>
          <w:rFonts w:ascii="Verdana" w:hAnsi="Verdana"/>
        </w:rPr>
        <w:t xml:space="preserve"> 6 miliardi e i costi per la cyber</w:t>
      </w:r>
      <w:r w:rsidR="0094221D" w:rsidRPr="00D57015">
        <w:rPr>
          <w:rFonts w:ascii="Verdana" w:hAnsi="Verdana"/>
        </w:rPr>
        <w:t xml:space="preserve"> </w:t>
      </w:r>
      <w:r w:rsidR="00D9799F" w:rsidRPr="00D57015">
        <w:rPr>
          <w:rFonts w:ascii="Verdana" w:hAnsi="Verdana"/>
        </w:rPr>
        <w:t xml:space="preserve">criminalità </w:t>
      </w:r>
      <w:r w:rsidR="0094221D" w:rsidRPr="00D57015">
        <w:rPr>
          <w:rFonts w:ascii="Verdana" w:hAnsi="Verdana"/>
        </w:rPr>
        <w:t>a 2,8 miliardi</w:t>
      </w:r>
      <w:r w:rsidR="00D9799F" w:rsidRPr="00D57015">
        <w:rPr>
          <w:rFonts w:ascii="Verdana" w:hAnsi="Verdana"/>
        </w:rPr>
        <w:t>.</w:t>
      </w:r>
    </w:p>
    <w:p w:rsidR="00F67B27" w:rsidRDefault="00F67B27"/>
    <w:sectPr w:rsidR="00F67B27" w:rsidSect="00D57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56DB"/>
    <w:multiLevelType w:val="hybridMultilevel"/>
    <w:tmpl w:val="98FA1CFE"/>
    <w:lvl w:ilvl="0" w:tplc="7F58F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44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E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A9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4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A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E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2E7178"/>
    <w:multiLevelType w:val="hybridMultilevel"/>
    <w:tmpl w:val="C6729364"/>
    <w:lvl w:ilvl="0" w:tplc="DFC2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21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C3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C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21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29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8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0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E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FC1AA5"/>
    <w:multiLevelType w:val="hybridMultilevel"/>
    <w:tmpl w:val="A116657C"/>
    <w:lvl w:ilvl="0" w:tplc="DFC2CC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25CD9"/>
    <w:multiLevelType w:val="hybridMultilevel"/>
    <w:tmpl w:val="8884B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00AD9"/>
    <w:multiLevelType w:val="hybridMultilevel"/>
    <w:tmpl w:val="BCE64FB6"/>
    <w:lvl w:ilvl="0" w:tplc="ECB68E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75"/>
    <w:rsid w:val="0002648E"/>
    <w:rsid w:val="000E1AA5"/>
    <w:rsid w:val="000E28D5"/>
    <w:rsid w:val="002C2358"/>
    <w:rsid w:val="00523288"/>
    <w:rsid w:val="006D6FC2"/>
    <w:rsid w:val="007C2F0B"/>
    <w:rsid w:val="007F1C52"/>
    <w:rsid w:val="00894F7E"/>
    <w:rsid w:val="008F24A0"/>
    <w:rsid w:val="0094221D"/>
    <w:rsid w:val="00952AA1"/>
    <w:rsid w:val="00AB03EE"/>
    <w:rsid w:val="00AF2F7C"/>
    <w:rsid w:val="00C00C5D"/>
    <w:rsid w:val="00C318AC"/>
    <w:rsid w:val="00D367C1"/>
    <w:rsid w:val="00D36E27"/>
    <w:rsid w:val="00D57015"/>
    <w:rsid w:val="00D9799F"/>
    <w:rsid w:val="00E33875"/>
    <w:rsid w:val="00F24EAE"/>
    <w:rsid w:val="00F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F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F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92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96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Castellucci</dc:creator>
  <cp:keywords/>
  <dc:description/>
  <cp:lastModifiedBy>Castellucci</cp:lastModifiedBy>
  <cp:revision>5</cp:revision>
  <dcterms:created xsi:type="dcterms:W3CDTF">2022-04-11T08:52:00Z</dcterms:created>
  <dcterms:modified xsi:type="dcterms:W3CDTF">2022-04-12T14:39:00Z</dcterms:modified>
</cp:coreProperties>
</file>