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A7E" w:rsidRPr="00DF11E7" w:rsidRDefault="00034A7E" w:rsidP="00034A7E">
      <w:pPr>
        <w:shd w:val="clear" w:color="auto" w:fill="002060"/>
        <w:jc w:val="center"/>
        <w:rPr>
          <w:b/>
          <w:i/>
          <w:sz w:val="24"/>
          <w:szCs w:val="24"/>
        </w:rPr>
      </w:pPr>
    </w:p>
    <w:p w:rsidR="008129B3" w:rsidRDefault="00034A7E" w:rsidP="00034A7E">
      <w:pPr>
        <w:shd w:val="clear" w:color="auto" w:fill="002060"/>
        <w:jc w:val="center"/>
        <w:rPr>
          <w:b/>
          <w:sz w:val="24"/>
          <w:szCs w:val="24"/>
        </w:rPr>
      </w:pPr>
      <w:r w:rsidRPr="00034A7E">
        <w:rPr>
          <w:b/>
          <w:sz w:val="24"/>
          <w:szCs w:val="24"/>
        </w:rPr>
        <w:t>QUADRO SANZIONATORIO PREVISTO DAL D.LGS.1169/2011</w:t>
      </w:r>
    </w:p>
    <w:p w:rsidR="00600970" w:rsidRDefault="00600970" w:rsidP="00034A7E">
      <w:pPr>
        <w:shd w:val="clear" w:color="auto" w:fill="002060"/>
        <w:jc w:val="center"/>
        <w:rPr>
          <w:b/>
          <w:sz w:val="24"/>
          <w:szCs w:val="24"/>
        </w:rPr>
      </w:pPr>
    </w:p>
    <w:p w:rsidR="00600970" w:rsidRDefault="00600970" w:rsidP="00600970">
      <w:pPr>
        <w:jc w:val="center"/>
        <w:rPr>
          <w:b/>
          <w:sz w:val="24"/>
          <w:szCs w:val="24"/>
        </w:rPr>
      </w:pPr>
    </w:p>
    <w:tbl>
      <w:tblPr>
        <w:tblStyle w:val="Grigliatabella"/>
        <w:tblW w:w="9694" w:type="dxa"/>
        <w:tblLook w:val="04A0" w:firstRow="1" w:lastRow="0" w:firstColumn="1" w:lastColumn="0" w:noHBand="0" w:noVBand="1"/>
      </w:tblPr>
      <w:tblGrid>
        <w:gridCol w:w="3231"/>
        <w:gridCol w:w="6463"/>
      </w:tblGrid>
      <w:tr w:rsidR="000C7B32" w:rsidTr="000C7B32">
        <w:tc>
          <w:tcPr>
            <w:tcW w:w="9694" w:type="dxa"/>
            <w:gridSpan w:val="2"/>
            <w:shd w:val="clear" w:color="auto" w:fill="FFFF00"/>
          </w:tcPr>
          <w:p w:rsidR="000C7B32" w:rsidRPr="000C7B32" w:rsidRDefault="000C7B32" w:rsidP="000C7B32">
            <w:pPr>
              <w:jc w:val="center"/>
              <w:rPr>
                <w:b/>
              </w:rPr>
            </w:pPr>
            <w:r w:rsidRPr="000C7B32">
              <w:rPr>
                <w:b/>
              </w:rPr>
              <w:t>VIOLAZIONI DELLE DISPOSIZIONI PREVISTE DAL REGOLAMENTO (UE)</w:t>
            </w:r>
          </w:p>
        </w:tc>
      </w:tr>
      <w:tr w:rsidR="00034A7E" w:rsidTr="00034A7E">
        <w:tc>
          <w:tcPr>
            <w:tcW w:w="3231" w:type="dxa"/>
          </w:tcPr>
          <w:p w:rsidR="00034A7E" w:rsidRPr="00034A7E" w:rsidRDefault="00034A7E" w:rsidP="00034A7E">
            <w:r>
              <w:t xml:space="preserve">Norma violata </w:t>
            </w:r>
          </w:p>
        </w:tc>
        <w:tc>
          <w:tcPr>
            <w:tcW w:w="6463" w:type="dxa"/>
          </w:tcPr>
          <w:p w:rsidR="00034A7E" w:rsidRPr="00034A7E" w:rsidRDefault="00034A7E" w:rsidP="00034A7E">
            <w:r w:rsidRPr="00034A7E">
              <w:t>Descrizione</w:t>
            </w:r>
            <w:r w:rsidR="00DF11E7">
              <w:t xml:space="preserve"> </w:t>
            </w:r>
            <w:r w:rsidR="00DF11E7">
              <w:t>e sanzione (*) salvo che il fatto costituisca reato</w:t>
            </w:r>
          </w:p>
        </w:tc>
      </w:tr>
      <w:tr w:rsidR="00034A7E" w:rsidTr="00034A7E">
        <w:tc>
          <w:tcPr>
            <w:tcW w:w="3231" w:type="dxa"/>
          </w:tcPr>
          <w:p w:rsidR="00034A7E" w:rsidRDefault="00034A7E" w:rsidP="00DF11E7">
            <w:pPr>
              <w:shd w:val="clear" w:color="auto" w:fill="B4C6E7" w:themeFill="accent1" w:themeFillTint="66"/>
              <w:rPr>
                <w:b/>
                <w:sz w:val="24"/>
                <w:szCs w:val="24"/>
              </w:rPr>
            </w:pPr>
            <w:r w:rsidRPr="000D6A69">
              <w:rPr>
                <w:b/>
                <w:sz w:val="24"/>
                <w:szCs w:val="24"/>
              </w:rPr>
              <w:t>Articolo 3</w:t>
            </w:r>
          </w:p>
          <w:p w:rsidR="00034A7E" w:rsidRDefault="00034A7E" w:rsidP="00034A7E">
            <w:pPr>
              <w:rPr>
                <w:b/>
                <w:sz w:val="24"/>
                <w:szCs w:val="24"/>
              </w:rPr>
            </w:pPr>
          </w:p>
          <w:p w:rsidR="00034A7E" w:rsidRPr="00034A7E" w:rsidRDefault="00034A7E" w:rsidP="000D6A69">
            <w:pPr>
              <w:jc w:val="right"/>
              <w:rPr>
                <w:b/>
                <w:sz w:val="24"/>
                <w:szCs w:val="24"/>
              </w:rPr>
            </w:pPr>
          </w:p>
        </w:tc>
        <w:tc>
          <w:tcPr>
            <w:tcW w:w="6463" w:type="dxa"/>
          </w:tcPr>
          <w:p w:rsidR="00034A7E" w:rsidRDefault="00034A7E" w:rsidP="000D6A69">
            <w:pPr>
              <w:jc w:val="both"/>
              <w:rPr>
                <w:b/>
              </w:rPr>
            </w:pPr>
            <w:r w:rsidRPr="00600970">
              <w:rPr>
                <w:b/>
                <w:highlight w:val="yellow"/>
              </w:rPr>
              <w:t>Violazione delle pratiche leali di informazioni di cui all’articolo 7 del Regolamento</w:t>
            </w:r>
          </w:p>
          <w:p w:rsidR="00034A7E" w:rsidRDefault="00034A7E" w:rsidP="00034A7E">
            <w:pPr>
              <w:jc w:val="both"/>
              <w:rPr>
                <w:i/>
                <w:sz w:val="20"/>
                <w:szCs w:val="20"/>
              </w:rPr>
            </w:pPr>
            <w:r w:rsidRPr="00034A7E">
              <w:rPr>
                <w:i/>
                <w:sz w:val="20"/>
                <w:szCs w:val="20"/>
              </w:rPr>
              <w:t>Gli operatori sono tenuti a dare informazioni sugli alimenti che non inducano in errore, in particolare per quanto riguarda le caratteristiche dell’alimento, la sua composizione, la sua origine, la sua durata. Le informazioni debbono essere chiare e facilmente comprensibili</w:t>
            </w:r>
            <w:r w:rsidR="000D6A69">
              <w:rPr>
                <w:i/>
                <w:sz w:val="20"/>
                <w:szCs w:val="20"/>
              </w:rPr>
              <w:t>.</w:t>
            </w:r>
          </w:p>
          <w:p w:rsidR="00DF11E7" w:rsidRPr="00034A7E" w:rsidRDefault="00DF11E7" w:rsidP="00034A7E">
            <w:pPr>
              <w:jc w:val="both"/>
              <w:rPr>
                <w:i/>
                <w:sz w:val="20"/>
                <w:szCs w:val="20"/>
              </w:rPr>
            </w:pPr>
            <w:r w:rsidRPr="000D6A69">
              <w:rPr>
                <w:b/>
                <w:sz w:val="24"/>
                <w:szCs w:val="24"/>
                <w:shd w:val="clear" w:color="auto" w:fill="F7CAAC" w:themeFill="accent2" w:themeFillTint="66"/>
              </w:rPr>
              <w:t>Da € 3.000 a € 24.0000</w:t>
            </w:r>
            <w:r>
              <w:rPr>
                <w:b/>
                <w:sz w:val="24"/>
                <w:szCs w:val="24"/>
                <w:shd w:val="clear" w:color="auto" w:fill="F7CAAC" w:themeFill="accent2" w:themeFillTint="66"/>
              </w:rPr>
              <w:t>(*)</w:t>
            </w:r>
          </w:p>
        </w:tc>
      </w:tr>
      <w:tr w:rsidR="000D6A69" w:rsidTr="000D6A69">
        <w:tc>
          <w:tcPr>
            <w:tcW w:w="3231" w:type="dxa"/>
            <w:shd w:val="clear" w:color="auto" w:fill="auto"/>
          </w:tcPr>
          <w:p w:rsidR="000D6A69" w:rsidRDefault="000D6A69" w:rsidP="00DF11E7">
            <w:pPr>
              <w:shd w:val="clear" w:color="auto" w:fill="B4C6E7" w:themeFill="accent1" w:themeFillTint="66"/>
              <w:rPr>
                <w:b/>
                <w:sz w:val="24"/>
                <w:szCs w:val="24"/>
              </w:rPr>
            </w:pPr>
            <w:r w:rsidRPr="000D6A69">
              <w:rPr>
                <w:b/>
                <w:sz w:val="24"/>
                <w:szCs w:val="24"/>
              </w:rPr>
              <w:t xml:space="preserve">Articolo </w:t>
            </w:r>
            <w:r>
              <w:rPr>
                <w:b/>
                <w:sz w:val="24"/>
                <w:szCs w:val="24"/>
              </w:rPr>
              <w:t>4</w:t>
            </w:r>
          </w:p>
          <w:p w:rsidR="000D6A69" w:rsidRDefault="000D6A69" w:rsidP="000D6A69">
            <w:pPr>
              <w:rPr>
                <w:b/>
                <w:sz w:val="24"/>
                <w:szCs w:val="24"/>
                <w:shd w:val="clear" w:color="auto" w:fill="F7CAAC" w:themeFill="accent2" w:themeFillTint="66"/>
              </w:rPr>
            </w:pPr>
          </w:p>
          <w:p w:rsidR="00DF11E7" w:rsidRDefault="00DF11E7" w:rsidP="000D6A69">
            <w:pPr>
              <w:jc w:val="right"/>
              <w:rPr>
                <w:b/>
                <w:sz w:val="24"/>
                <w:szCs w:val="24"/>
              </w:rPr>
            </w:pPr>
          </w:p>
          <w:p w:rsidR="00DF11E7" w:rsidRDefault="00DF11E7" w:rsidP="000D6A69">
            <w:pPr>
              <w:jc w:val="right"/>
              <w:rPr>
                <w:b/>
                <w:sz w:val="24"/>
                <w:szCs w:val="24"/>
              </w:rPr>
            </w:pPr>
          </w:p>
          <w:p w:rsidR="00DF11E7" w:rsidRPr="000D6A69" w:rsidRDefault="00DF11E7" w:rsidP="000D6A69">
            <w:pPr>
              <w:jc w:val="right"/>
              <w:rPr>
                <w:b/>
                <w:sz w:val="24"/>
                <w:szCs w:val="24"/>
              </w:rPr>
            </w:pPr>
          </w:p>
        </w:tc>
        <w:tc>
          <w:tcPr>
            <w:tcW w:w="6463" w:type="dxa"/>
          </w:tcPr>
          <w:p w:rsidR="000D6A69" w:rsidRDefault="000D6A69" w:rsidP="000D6A69">
            <w:pPr>
              <w:jc w:val="both"/>
              <w:rPr>
                <w:b/>
              </w:rPr>
            </w:pPr>
            <w:r w:rsidRPr="00600970">
              <w:rPr>
                <w:b/>
                <w:highlight w:val="yellow"/>
              </w:rPr>
              <w:t>Violazione degli obblighi informativi da parte degli operatori del settore alimentare di cui all’articolo 8 del Regolamento</w:t>
            </w:r>
          </w:p>
          <w:p w:rsidR="000D6A69" w:rsidRDefault="000D6A69" w:rsidP="000D6A69">
            <w:pPr>
              <w:jc w:val="both"/>
              <w:rPr>
                <w:i/>
                <w:sz w:val="20"/>
                <w:szCs w:val="20"/>
              </w:rPr>
            </w:pPr>
            <w:r w:rsidRPr="000D6A69">
              <w:rPr>
                <w:b/>
                <w:i/>
                <w:sz w:val="20"/>
                <w:szCs w:val="20"/>
                <w:u w:val="single"/>
              </w:rPr>
              <w:t>Comma 1</w:t>
            </w:r>
            <w:r>
              <w:rPr>
                <w:i/>
                <w:sz w:val="20"/>
                <w:szCs w:val="20"/>
              </w:rPr>
              <w:t>- L’operatore del settore alimentare che fornisce alimenti di cui conosce o presume di conoscere la non conformità alla normativa in materia di informazioni.</w:t>
            </w:r>
          </w:p>
          <w:p w:rsidR="00DF11E7" w:rsidRPr="00DF11E7" w:rsidRDefault="00DF11E7" w:rsidP="00DF11E7">
            <w:pPr>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500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4.000(*)</w:t>
            </w:r>
          </w:p>
          <w:p w:rsidR="000D6A69" w:rsidRDefault="000D6A69" w:rsidP="000D6A69">
            <w:pPr>
              <w:jc w:val="both"/>
              <w:rPr>
                <w:i/>
                <w:sz w:val="20"/>
                <w:szCs w:val="20"/>
              </w:rPr>
            </w:pPr>
            <w:r w:rsidRPr="000D6A69">
              <w:rPr>
                <w:b/>
                <w:i/>
                <w:sz w:val="20"/>
                <w:szCs w:val="20"/>
                <w:u w:val="single"/>
              </w:rPr>
              <w:t xml:space="preserve">Comma </w:t>
            </w:r>
            <w:r>
              <w:rPr>
                <w:b/>
                <w:i/>
                <w:sz w:val="20"/>
                <w:szCs w:val="20"/>
                <w:u w:val="single"/>
              </w:rPr>
              <w:t>2</w:t>
            </w:r>
            <w:r>
              <w:rPr>
                <w:i/>
                <w:sz w:val="20"/>
                <w:szCs w:val="20"/>
              </w:rPr>
              <w:t xml:space="preserve">- L’operatore del settore alimentare che </w:t>
            </w:r>
            <w:r>
              <w:rPr>
                <w:i/>
                <w:sz w:val="20"/>
                <w:szCs w:val="20"/>
              </w:rPr>
              <w:t>modifica le informazioni che accompagnano un alimento</w:t>
            </w:r>
            <w:r w:rsidR="00DF11E7">
              <w:rPr>
                <w:i/>
                <w:sz w:val="20"/>
                <w:szCs w:val="20"/>
              </w:rPr>
              <w:t xml:space="preserve"> quando dette modificazioni possono indurre il consumatore in errore</w:t>
            </w:r>
          </w:p>
          <w:p w:rsidR="000D6A69" w:rsidRDefault="00DF11E7" w:rsidP="000D6A69">
            <w:pPr>
              <w:jc w:val="both"/>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2.000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16.000(*)</w:t>
            </w:r>
          </w:p>
          <w:p w:rsidR="00DF11E7" w:rsidRDefault="00DF11E7" w:rsidP="00DF11E7">
            <w:pPr>
              <w:jc w:val="both"/>
              <w:rPr>
                <w:i/>
                <w:sz w:val="20"/>
                <w:szCs w:val="20"/>
              </w:rPr>
            </w:pPr>
            <w:r w:rsidRPr="000D6A69">
              <w:rPr>
                <w:b/>
                <w:i/>
                <w:sz w:val="20"/>
                <w:szCs w:val="20"/>
                <w:u w:val="single"/>
              </w:rPr>
              <w:t xml:space="preserve">Comma </w:t>
            </w:r>
            <w:r>
              <w:rPr>
                <w:b/>
                <w:i/>
                <w:sz w:val="20"/>
                <w:szCs w:val="20"/>
                <w:u w:val="single"/>
              </w:rPr>
              <w:t>4</w:t>
            </w:r>
            <w:r>
              <w:rPr>
                <w:i/>
                <w:sz w:val="20"/>
                <w:szCs w:val="20"/>
              </w:rPr>
              <w:t xml:space="preserve">- L’operatore del settore alimentare </w:t>
            </w:r>
            <w:r>
              <w:rPr>
                <w:i/>
                <w:sz w:val="20"/>
                <w:szCs w:val="20"/>
              </w:rPr>
              <w:t xml:space="preserve">non appone le indicazioni obbligatorie sui </w:t>
            </w:r>
            <w:proofErr w:type="spellStart"/>
            <w:r>
              <w:rPr>
                <w:i/>
                <w:sz w:val="20"/>
                <w:szCs w:val="20"/>
              </w:rPr>
              <w:t>preimballaggi</w:t>
            </w:r>
            <w:proofErr w:type="spellEnd"/>
            <w:r>
              <w:rPr>
                <w:i/>
                <w:sz w:val="20"/>
                <w:szCs w:val="20"/>
              </w:rPr>
              <w:t xml:space="preserve"> o sull’etichettatura anche nel caso in cui dette indicazioni siano presenti in fattura.</w:t>
            </w:r>
          </w:p>
          <w:p w:rsidR="00DF11E7" w:rsidRDefault="00DF11E7" w:rsidP="00DF11E7">
            <w:pPr>
              <w:jc w:val="both"/>
              <w:rPr>
                <w:b/>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1</w:t>
            </w:r>
            <w:r>
              <w:rPr>
                <w:b/>
                <w:sz w:val="24"/>
                <w:szCs w:val="24"/>
                <w:shd w:val="clear" w:color="auto" w:fill="F7CAAC" w:themeFill="accent2" w:themeFillTint="66"/>
              </w:rPr>
              <w:t>.000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8</w:t>
            </w:r>
            <w:r>
              <w:rPr>
                <w:b/>
                <w:sz w:val="24"/>
                <w:szCs w:val="24"/>
                <w:shd w:val="clear" w:color="auto" w:fill="F7CAAC" w:themeFill="accent2" w:themeFillTint="66"/>
              </w:rPr>
              <w:t>.000(*)</w:t>
            </w:r>
          </w:p>
        </w:tc>
      </w:tr>
      <w:tr w:rsidR="00DF11E7" w:rsidTr="000D6A69">
        <w:tc>
          <w:tcPr>
            <w:tcW w:w="3231" w:type="dxa"/>
            <w:shd w:val="clear" w:color="auto" w:fill="auto"/>
          </w:tcPr>
          <w:p w:rsidR="00DF11E7" w:rsidRPr="000D6A69" w:rsidRDefault="00E17B52" w:rsidP="00DF11E7">
            <w:pPr>
              <w:shd w:val="clear" w:color="auto" w:fill="B4C6E7" w:themeFill="accent1" w:themeFillTint="66"/>
              <w:rPr>
                <w:b/>
                <w:sz w:val="24"/>
                <w:szCs w:val="24"/>
              </w:rPr>
            </w:pPr>
            <w:r>
              <w:rPr>
                <w:b/>
                <w:sz w:val="24"/>
                <w:szCs w:val="24"/>
              </w:rPr>
              <w:t>Articolo 5</w:t>
            </w:r>
          </w:p>
        </w:tc>
        <w:tc>
          <w:tcPr>
            <w:tcW w:w="6463" w:type="dxa"/>
          </w:tcPr>
          <w:p w:rsidR="00DF11E7" w:rsidRDefault="00DF11E7" w:rsidP="00DF11E7">
            <w:pPr>
              <w:jc w:val="both"/>
              <w:rPr>
                <w:b/>
              </w:rPr>
            </w:pPr>
            <w:r w:rsidRPr="00600970">
              <w:rPr>
                <w:b/>
                <w:highlight w:val="yellow"/>
              </w:rPr>
              <w:t xml:space="preserve">Violazione degli obblighi </w:t>
            </w:r>
            <w:r w:rsidR="00E17B52" w:rsidRPr="00600970">
              <w:rPr>
                <w:b/>
                <w:highlight w:val="yellow"/>
              </w:rPr>
              <w:t>relativi all’apposizione delle indicazioni obbligatorie di cui all’art.9, par.1, all’art.10, par.1 e all’allegato III del Regolamento</w:t>
            </w:r>
          </w:p>
          <w:p w:rsidR="00DF11E7" w:rsidRDefault="00DF11E7" w:rsidP="00DF11E7">
            <w:pPr>
              <w:jc w:val="both"/>
              <w:rPr>
                <w:i/>
                <w:sz w:val="20"/>
                <w:szCs w:val="20"/>
              </w:rPr>
            </w:pPr>
            <w:r w:rsidRPr="000D6A69">
              <w:rPr>
                <w:b/>
                <w:i/>
                <w:sz w:val="20"/>
                <w:szCs w:val="20"/>
                <w:u w:val="single"/>
              </w:rPr>
              <w:t>Comma 1</w:t>
            </w:r>
            <w:r>
              <w:rPr>
                <w:i/>
                <w:sz w:val="20"/>
                <w:szCs w:val="20"/>
              </w:rPr>
              <w:t xml:space="preserve">- </w:t>
            </w:r>
            <w:r w:rsidR="00E17B52">
              <w:rPr>
                <w:i/>
                <w:sz w:val="20"/>
                <w:szCs w:val="20"/>
              </w:rPr>
              <w:t>La mancata apposizione delle indicazioni obbligatorie relative a sostanze che possono provocare allergie o intolleranze e cioè qualsiasi ingrediente o derivato o prodotto comunque utilizzato e presente nel prodotto finito. La sanzione non si applica se il prodotto è immediatamente ritirato dandone opportuna informazione alle autorità competenti.</w:t>
            </w:r>
          </w:p>
          <w:p w:rsidR="00DF11E7" w:rsidRPr="00DF11E7" w:rsidRDefault="00DF11E7" w:rsidP="00DF11E7">
            <w:pPr>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5</w:t>
            </w:r>
            <w:r w:rsidR="00E17B52">
              <w:rPr>
                <w:b/>
                <w:sz w:val="24"/>
                <w:szCs w:val="24"/>
                <w:shd w:val="clear" w:color="auto" w:fill="F7CAAC" w:themeFill="accent2" w:themeFillTint="66"/>
              </w:rPr>
              <w:t>.0</w:t>
            </w:r>
            <w:r>
              <w:rPr>
                <w:b/>
                <w:sz w:val="24"/>
                <w:szCs w:val="24"/>
                <w:shd w:val="clear" w:color="auto" w:fill="F7CAAC" w:themeFill="accent2" w:themeFillTint="66"/>
              </w:rPr>
              <w:t>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4</w:t>
            </w:r>
            <w:r w:rsidR="00E17B52">
              <w:rPr>
                <w:b/>
                <w:sz w:val="24"/>
                <w:szCs w:val="24"/>
                <w:shd w:val="clear" w:color="auto" w:fill="F7CAAC" w:themeFill="accent2" w:themeFillTint="66"/>
              </w:rPr>
              <w:t>0</w:t>
            </w:r>
            <w:r>
              <w:rPr>
                <w:b/>
                <w:sz w:val="24"/>
                <w:szCs w:val="24"/>
                <w:shd w:val="clear" w:color="auto" w:fill="F7CAAC" w:themeFill="accent2" w:themeFillTint="66"/>
              </w:rPr>
              <w:t>.000(*)</w:t>
            </w:r>
          </w:p>
          <w:p w:rsidR="00DF11E7" w:rsidRDefault="00DF11E7" w:rsidP="00DF11E7">
            <w:pPr>
              <w:jc w:val="both"/>
              <w:rPr>
                <w:i/>
                <w:sz w:val="20"/>
                <w:szCs w:val="20"/>
              </w:rPr>
            </w:pPr>
            <w:r w:rsidRPr="000D6A69">
              <w:rPr>
                <w:b/>
                <w:i/>
                <w:sz w:val="20"/>
                <w:szCs w:val="20"/>
                <w:u w:val="single"/>
              </w:rPr>
              <w:t xml:space="preserve">Comma </w:t>
            </w:r>
            <w:r>
              <w:rPr>
                <w:b/>
                <w:i/>
                <w:sz w:val="20"/>
                <w:szCs w:val="20"/>
                <w:u w:val="single"/>
              </w:rPr>
              <w:t>2</w:t>
            </w:r>
            <w:r w:rsidR="00E17B52">
              <w:rPr>
                <w:b/>
                <w:i/>
                <w:sz w:val="20"/>
                <w:szCs w:val="20"/>
                <w:u w:val="single"/>
              </w:rPr>
              <w:t>-</w:t>
            </w:r>
            <w:r w:rsidR="00E17B52" w:rsidRPr="00E17B52">
              <w:rPr>
                <w:b/>
                <w:i/>
                <w:sz w:val="20"/>
                <w:szCs w:val="20"/>
              </w:rPr>
              <w:t xml:space="preserve"> </w:t>
            </w:r>
            <w:r w:rsidR="00E17B52">
              <w:rPr>
                <w:i/>
                <w:sz w:val="20"/>
                <w:szCs w:val="20"/>
              </w:rPr>
              <w:t>La mancata apposizione di una o più delle altre indicazioni obbligatorie come l’indicazione in etichetta del nome</w:t>
            </w:r>
            <w:r w:rsidR="003D299E">
              <w:rPr>
                <w:i/>
                <w:sz w:val="20"/>
                <w:szCs w:val="20"/>
              </w:rPr>
              <w:t>, ragione sociale o come le condizioni di conservazione del prodotto.</w:t>
            </w:r>
          </w:p>
          <w:p w:rsidR="00DF11E7" w:rsidRDefault="00DF11E7" w:rsidP="00DF11E7">
            <w:pPr>
              <w:jc w:val="both"/>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sidR="00E17B52">
              <w:rPr>
                <w:b/>
                <w:sz w:val="24"/>
                <w:szCs w:val="24"/>
                <w:shd w:val="clear" w:color="auto" w:fill="F7CAAC" w:themeFill="accent2" w:themeFillTint="66"/>
              </w:rPr>
              <w:t>3</w:t>
            </w:r>
            <w:r>
              <w:rPr>
                <w:b/>
                <w:sz w:val="24"/>
                <w:szCs w:val="24"/>
                <w:shd w:val="clear" w:color="auto" w:fill="F7CAAC" w:themeFill="accent2" w:themeFillTint="66"/>
              </w:rPr>
              <w:t>.000</w:t>
            </w:r>
            <w:r w:rsidRPr="000D6A69">
              <w:rPr>
                <w:b/>
                <w:sz w:val="24"/>
                <w:szCs w:val="24"/>
                <w:shd w:val="clear" w:color="auto" w:fill="F7CAAC" w:themeFill="accent2" w:themeFillTint="66"/>
              </w:rPr>
              <w:t xml:space="preserve"> a € </w:t>
            </w:r>
            <w:r w:rsidR="00E17B52">
              <w:rPr>
                <w:b/>
                <w:sz w:val="24"/>
                <w:szCs w:val="24"/>
                <w:shd w:val="clear" w:color="auto" w:fill="F7CAAC" w:themeFill="accent2" w:themeFillTint="66"/>
              </w:rPr>
              <w:t>24</w:t>
            </w:r>
            <w:r>
              <w:rPr>
                <w:b/>
                <w:sz w:val="24"/>
                <w:szCs w:val="24"/>
                <w:shd w:val="clear" w:color="auto" w:fill="F7CAAC" w:themeFill="accent2" w:themeFillTint="66"/>
              </w:rPr>
              <w:t>.000(*)</w:t>
            </w:r>
          </w:p>
          <w:p w:rsidR="00DF11E7" w:rsidRDefault="00DF11E7" w:rsidP="00DF11E7">
            <w:pPr>
              <w:jc w:val="both"/>
              <w:rPr>
                <w:i/>
                <w:sz w:val="20"/>
                <w:szCs w:val="20"/>
              </w:rPr>
            </w:pPr>
            <w:r w:rsidRPr="000D6A69">
              <w:rPr>
                <w:b/>
                <w:i/>
                <w:sz w:val="20"/>
                <w:szCs w:val="20"/>
                <w:u w:val="single"/>
              </w:rPr>
              <w:t xml:space="preserve">Comma </w:t>
            </w:r>
            <w:r w:rsidR="003D299E">
              <w:rPr>
                <w:b/>
                <w:i/>
                <w:sz w:val="20"/>
                <w:szCs w:val="20"/>
                <w:u w:val="single"/>
              </w:rPr>
              <w:t>3</w:t>
            </w:r>
            <w:r>
              <w:rPr>
                <w:i/>
                <w:sz w:val="20"/>
                <w:szCs w:val="20"/>
              </w:rPr>
              <w:t xml:space="preserve">- </w:t>
            </w:r>
            <w:r w:rsidR="003D299E">
              <w:rPr>
                <w:i/>
                <w:sz w:val="20"/>
                <w:szCs w:val="20"/>
              </w:rPr>
              <w:t xml:space="preserve"> La mancata indicazione in etichetta del nome, ragione sociale e indirizzo del produttore o confezionatore del prodotto se diverso dal soggetto responsabile</w:t>
            </w:r>
          </w:p>
          <w:p w:rsidR="00DF11E7" w:rsidRDefault="00DF11E7" w:rsidP="00DF11E7">
            <w:pPr>
              <w:jc w:val="both"/>
              <w:rPr>
                <w:b/>
              </w:rPr>
            </w:pPr>
            <w:r w:rsidRPr="000D6A69">
              <w:rPr>
                <w:b/>
                <w:sz w:val="24"/>
                <w:szCs w:val="24"/>
                <w:shd w:val="clear" w:color="auto" w:fill="F7CAAC" w:themeFill="accent2" w:themeFillTint="66"/>
              </w:rPr>
              <w:t xml:space="preserve">Da € </w:t>
            </w:r>
            <w:r w:rsidR="003D299E">
              <w:rPr>
                <w:b/>
                <w:sz w:val="24"/>
                <w:szCs w:val="24"/>
                <w:shd w:val="clear" w:color="auto" w:fill="F7CAAC" w:themeFill="accent2" w:themeFillTint="66"/>
              </w:rPr>
              <w:t>3</w:t>
            </w:r>
            <w:r>
              <w:rPr>
                <w:b/>
                <w:sz w:val="24"/>
                <w:szCs w:val="24"/>
                <w:shd w:val="clear" w:color="auto" w:fill="F7CAAC" w:themeFill="accent2" w:themeFillTint="66"/>
              </w:rPr>
              <w:t>.000</w:t>
            </w:r>
            <w:r w:rsidRPr="000D6A69">
              <w:rPr>
                <w:b/>
                <w:sz w:val="24"/>
                <w:szCs w:val="24"/>
                <w:shd w:val="clear" w:color="auto" w:fill="F7CAAC" w:themeFill="accent2" w:themeFillTint="66"/>
              </w:rPr>
              <w:t xml:space="preserve"> a € </w:t>
            </w:r>
            <w:r w:rsidR="003D299E">
              <w:rPr>
                <w:b/>
                <w:sz w:val="24"/>
                <w:szCs w:val="24"/>
                <w:shd w:val="clear" w:color="auto" w:fill="F7CAAC" w:themeFill="accent2" w:themeFillTint="66"/>
              </w:rPr>
              <w:t>24</w:t>
            </w:r>
            <w:r>
              <w:rPr>
                <w:b/>
                <w:sz w:val="24"/>
                <w:szCs w:val="24"/>
                <w:shd w:val="clear" w:color="auto" w:fill="F7CAAC" w:themeFill="accent2" w:themeFillTint="66"/>
              </w:rPr>
              <w:t>.000(*)</w:t>
            </w:r>
          </w:p>
        </w:tc>
      </w:tr>
      <w:tr w:rsidR="003D299E" w:rsidTr="000D6A69">
        <w:tc>
          <w:tcPr>
            <w:tcW w:w="3231" w:type="dxa"/>
            <w:shd w:val="clear" w:color="auto" w:fill="auto"/>
          </w:tcPr>
          <w:p w:rsidR="003D299E" w:rsidRDefault="003D299E" w:rsidP="00DF11E7">
            <w:pPr>
              <w:shd w:val="clear" w:color="auto" w:fill="B4C6E7" w:themeFill="accent1" w:themeFillTint="66"/>
              <w:rPr>
                <w:b/>
                <w:sz w:val="24"/>
                <w:szCs w:val="24"/>
              </w:rPr>
            </w:pPr>
            <w:r>
              <w:rPr>
                <w:b/>
                <w:sz w:val="24"/>
                <w:szCs w:val="24"/>
              </w:rPr>
              <w:t>Articolo 6</w:t>
            </w:r>
          </w:p>
        </w:tc>
        <w:tc>
          <w:tcPr>
            <w:tcW w:w="6463" w:type="dxa"/>
          </w:tcPr>
          <w:p w:rsidR="003D299E" w:rsidRDefault="003D299E" w:rsidP="003D299E">
            <w:pPr>
              <w:jc w:val="both"/>
              <w:rPr>
                <w:b/>
              </w:rPr>
            </w:pPr>
            <w:r w:rsidRPr="00600970">
              <w:rPr>
                <w:b/>
                <w:highlight w:val="yellow"/>
              </w:rPr>
              <w:t xml:space="preserve">Violazione degli obblighi relativi </w:t>
            </w:r>
            <w:r w:rsidRPr="00600970">
              <w:rPr>
                <w:b/>
                <w:highlight w:val="yellow"/>
              </w:rPr>
              <w:t>alle modalità di espressione posizionamento e presentazione delle indicazioni obbligatorie</w:t>
            </w:r>
          </w:p>
          <w:p w:rsidR="003D299E" w:rsidRDefault="003D299E" w:rsidP="003D299E">
            <w:pPr>
              <w:jc w:val="both"/>
              <w:rPr>
                <w:i/>
                <w:sz w:val="20"/>
                <w:szCs w:val="20"/>
              </w:rPr>
            </w:pPr>
            <w:r>
              <w:rPr>
                <w:i/>
                <w:sz w:val="20"/>
                <w:szCs w:val="20"/>
              </w:rPr>
              <w:t xml:space="preserve">La mancata </w:t>
            </w:r>
            <w:r>
              <w:rPr>
                <w:i/>
                <w:sz w:val="20"/>
                <w:szCs w:val="20"/>
              </w:rPr>
              <w:t xml:space="preserve">osservanza, da parte del soggetto responsabile, delle modalità obbligatorie di espressione in parole, pittogrammi e simboli nonché della presentazione e del posizionamento delle informazioni obbligatorie come prescritto dall’art.9 del Regolamento e dal suo allegato IV. </w:t>
            </w:r>
          </w:p>
          <w:p w:rsidR="003D299E" w:rsidRPr="003D299E" w:rsidRDefault="003D299E" w:rsidP="003D299E">
            <w:pPr>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1</w:t>
            </w:r>
            <w:r>
              <w:rPr>
                <w:b/>
                <w:sz w:val="24"/>
                <w:szCs w:val="24"/>
                <w:shd w:val="clear" w:color="auto" w:fill="F7CAAC" w:themeFill="accent2" w:themeFillTint="66"/>
              </w:rPr>
              <w:t>.000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8</w:t>
            </w:r>
            <w:r>
              <w:rPr>
                <w:b/>
                <w:sz w:val="24"/>
                <w:szCs w:val="24"/>
                <w:shd w:val="clear" w:color="auto" w:fill="F7CAAC" w:themeFill="accent2" w:themeFillTint="66"/>
              </w:rPr>
              <w:t>.000</w:t>
            </w:r>
          </w:p>
        </w:tc>
      </w:tr>
      <w:tr w:rsidR="003D299E" w:rsidTr="00CB6F80">
        <w:tc>
          <w:tcPr>
            <w:tcW w:w="3231" w:type="dxa"/>
            <w:shd w:val="clear" w:color="auto" w:fill="auto"/>
          </w:tcPr>
          <w:p w:rsidR="003D299E" w:rsidRPr="000D6A69" w:rsidRDefault="003D299E" w:rsidP="00CB6F80">
            <w:pPr>
              <w:shd w:val="clear" w:color="auto" w:fill="B4C6E7" w:themeFill="accent1" w:themeFillTint="66"/>
              <w:rPr>
                <w:b/>
                <w:sz w:val="24"/>
                <w:szCs w:val="24"/>
              </w:rPr>
            </w:pPr>
            <w:r>
              <w:rPr>
                <w:b/>
                <w:sz w:val="24"/>
                <w:szCs w:val="24"/>
              </w:rPr>
              <w:lastRenderedPageBreak/>
              <w:t xml:space="preserve">Articolo </w:t>
            </w:r>
            <w:r>
              <w:rPr>
                <w:b/>
                <w:sz w:val="24"/>
                <w:szCs w:val="24"/>
              </w:rPr>
              <w:t>8</w:t>
            </w:r>
          </w:p>
        </w:tc>
        <w:tc>
          <w:tcPr>
            <w:tcW w:w="6463" w:type="dxa"/>
          </w:tcPr>
          <w:p w:rsidR="003D299E" w:rsidRDefault="003D299E" w:rsidP="00CB6F80">
            <w:pPr>
              <w:jc w:val="both"/>
              <w:rPr>
                <w:b/>
              </w:rPr>
            </w:pPr>
            <w:r w:rsidRPr="00600970">
              <w:rPr>
                <w:b/>
                <w:highlight w:val="yellow"/>
              </w:rPr>
              <w:t>Violazion</w:t>
            </w:r>
            <w:r w:rsidR="00600970" w:rsidRPr="00600970">
              <w:rPr>
                <w:b/>
                <w:highlight w:val="yellow"/>
              </w:rPr>
              <w:t>i</w:t>
            </w:r>
            <w:r w:rsidRPr="00600970">
              <w:rPr>
                <w:b/>
                <w:highlight w:val="yellow"/>
              </w:rPr>
              <w:t xml:space="preserve"> </w:t>
            </w:r>
            <w:r w:rsidR="00600970" w:rsidRPr="00600970">
              <w:rPr>
                <w:b/>
                <w:highlight w:val="yellow"/>
              </w:rPr>
              <w:t>in materia di denominazione dell’alimento</w:t>
            </w:r>
          </w:p>
          <w:p w:rsidR="003D299E" w:rsidRDefault="003D299E" w:rsidP="00CB6F80">
            <w:pPr>
              <w:jc w:val="both"/>
              <w:rPr>
                <w:i/>
                <w:sz w:val="20"/>
                <w:szCs w:val="20"/>
              </w:rPr>
            </w:pPr>
            <w:r w:rsidRPr="000D6A69">
              <w:rPr>
                <w:b/>
                <w:i/>
                <w:sz w:val="20"/>
                <w:szCs w:val="20"/>
                <w:u w:val="single"/>
              </w:rPr>
              <w:t>Comma 1</w:t>
            </w:r>
            <w:r>
              <w:rPr>
                <w:i/>
                <w:sz w:val="20"/>
                <w:szCs w:val="20"/>
              </w:rPr>
              <w:t xml:space="preserve">- La </w:t>
            </w:r>
            <w:r w:rsidR="00600970">
              <w:rPr>
                <w:i/>
                <w:sz w:val="20"/>
                <w:szCs w:val="20"/>
              </w:rPr>
              <w:t>violazione, da parte del soggetto responsabile, delle disposizioni previste in materia di denominazione legale o in sua mancanza della denominazione usuale dell’alimento.</w:t>
            </w:r>
            <w:r>
              <w:rPr>
                <w:i/>
                <w:sz w:val="20"/>
                <w:szCs w:val="20"/>
              </w:rPr>
              <w:t xml:space="preserve"> </w:t>
            </w:r>
          </w:p>
          <w:p w:rsidR="003D299E" w:rsidRPr="00DF11E7" w:rsidRDefault="003D299E" w:rsidP="00CB6F80">
            <w:pPr>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sidR="00600970">
              <w:rPr>
                <w:b/>
                <w:sz w:val="24"/>
                <w:szCs w:val="24"/>
                <w:shd w:val="clear" w:color="auto" w:fill="F7CAAC" w:themeFill="accent2" w:themeFillTint="66"/>
              </w:rPr>
              <w:t>2</w:t>
            </w:r>
            <w:r>
              <w:rPr>
                <w:b/>
                <w:sz w:val="24"/>
                <w:szCs w:val="24"/>
                <w:shd w:val="clear" w:color="auto" w:fill="F7CAAC" w:themeFill="accent2" w:themeFillTint="66"/>
              </w:rPr>
              <w:t>.000</w:t>
            </w:r>
            <w:r w:rsidRPr="000D6A69">
              <w:rPr>
                <w:b/>
                <w:sz w:val="24"/>
                <w:szCs w:val="24"/>
                <w:shd w:val="clear" w:color="auto" w:fill="F7CAAC" w:themeFill="accent2" w:themeFillTint="66"/>
              </w:rPr>
              <w:t xml:space="preserve"> a € </w:t>
            </w:r>
            <w:r w:rsidR="00600970">
              <w:rPr>
                <w:b/>
                <w:sz w:val="24"/>
                <w:szCs w:val="24"/>
                <w:shd w:val="clear" w:color="auto" w:fill="F7CAAC" w:themeFill="accent2" w:themeFillTint="66"/>
              </w:rPr>
              <w:t>16</w:t>
            </w:r>
            <w:r>
              <w:rPr>
                <w:b/>
                <w:sz w:val="24"/>
                <w:szCs w:val="24"/>
                <w:shd w:val="clear" w:color="auto" w:fill="F7CAAC" w:themeFill="accent2" w:themeFillTint="66"/>
              </w:rPr>
              <w:t>.000(*)</w:t>
            </w:r>
          </w:p>
          <w:p w:rsidR="003D299E" w:rsidRDefault="003D299E" w:rsidP="00CB6F80">
            <w:pPr>
              <w:jc w:val="both"/>
              <w:rPr>
                <w:i/>
                <w:sz w:val="20"/>
                <w:szCs w:val="20"/>
              </w:rPr>
            </w:pPr>
            <w:r w:rsidRPr="000D6A69">
              <w:rPr>
                <w:b/>
                <w:i/>
                <w:sz w:val="20"/>
                <w:szCs w:val="20"/>
                <w:u w:val="single"/>
              </w:rPr>
              <w:t xml:space="preserve">Comma </w:t>
            </w:r>
            <w:r>
              <w:rPr>
                <w:b/>
                <w:i/>
                <w:sz w:val="20"/>
                <w:szCs w:val="20"/>
                <w:u w:val="single"/>
              </w:rPr>
              <w:t>2-</w:t>
            </w:r>
            <w:r w:rsidRPr="00E17B52">
              <w:rPr>
                <w:b/>
                <w:i/>
                <w:sz w:val="20"/>
                <w:szCs w:val="20"/>
              </w:rPr>
              <w:t xml:space="preserve"> </w:t>
            </w:r>
            <w:r w:rsidR="00600970">
              <w:rPr>
                <w:i/>
                <w:sz w:val="20"/>
                <w:szCs w:val="20"/>
              </w:rPr>
              <w:t xml:space="preserve">Se la violazione di cui al comma precedente riguarda meri </w:t>
            </w:r>
            <w:proofErr w:type="gramStart"/>
            <w:r w:rsidR="00600970">
              <w:rPr>
                <w:i/>
                <w:sz w:val="20"/>
                <w:szCs w:val="20"/>
              </w:rPr>
              <w:t>errori  od</w:t>
            </w:r>
            <w:proofErr w:type="gramEnd"/>
            <w:r w:rsidR="00600970">
              <w:rPr>
                <w:i/>
                <w:sz w:val="20"/>
                <w:szCs w:val="20"/>
              </w:rPr>
              <w:t xml:space="preserve"> omissioni formali.</w:t>
            </w:r>
          </w:p>
          <w:p w:rsidR="003D299E" w:rsidRDefault="003D299E" w:rsidP="00CB6F80">
            <w:pPr>
              <w:jc w:val="both"/>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sidR="00600970">
              <w:rPr>
                <w:b/>
                <w:sz w:val="24"/>
                <w:szCs w:val="24"/>
                <w:shd w:val="clear" w:color="auto" w:fill="F7CAAC" w:themeFill="accent2" w:themeFillTint="66"/>
              </w:rPr>
              <w:t>500</w:t>
            </w:r>
            <w:r w:rsidRPr="000D6A69">
              <w:rPr>
                <w:b/>
                <w:sz w:val="24"/>
                <w:szCs w:val="24"/>
                <w:shd w:val="clear" w:color="auto" w:fill="F7CAAC" w:themeFill="accent2" w:themeFillTint="66"/>
              </w:rPr>
              <w:t xml:space="preserve"> a € </w:t>
            </w:r>
            <w:r w:rsidR="00600970">
              <w:rPr>
                <w:b/>
                <w:sz w:val="24"/>
                <w:szCs w:val="24"/>
                <w:shd w:val="clear" w:color="auto" w:fill="F7CAAC" w:themeFill="accent2" w:themeFillTint="66"/>
              </w:rPr>
              <w:t>4.</w:t>
            </w:r>
            <w:r>
              <w:rPr>
                <w:b/>
                <w:sz w:val="24"/>
                <w:szCs w:val="24"/>
                <w:shd w:val="clear" w:color="auto" w:fill="F7CAAC" w:themeFill="accent2" w:themeFillTint="66"/>
              </w:rPr>
              <w:t>000</w:t>
            </w:r>
          </w:p>
          <w:p w:rsidR="003D299E" w:rsidRDefault="003D299E" w:rsidP="00600970">
            <w:pPr>
              <w:autoSpaceDE w:val="0"/>
              <w:autoSpaceDN w:val="0"/>
              <w:adjustRightInd w:val="0"/>
              <w:jc w:val="both"/>
              <w:rPr>
                <w:i/>
                <w:sz w:val="20"/>
                <w:szCs w:val="20"/>
              </w:rPr>
            </w:pPr>
            <w:r w:rsidRPr="000D6A69">
              <w:rPr>
                <w:b/>
                <w:i/>
                <w:sz w:val="20"/>
                <w:szCs w:val="20"/>
                <w:u w:val="single"/>
              </w:rPr>
              <w:t xml:space="preserve">Comma </w:t>
            </w:r>
            <w:r>
              <w:rPr>
                <w:b/>
                <w:i/>
                <w:sz w:val="20"/>
                <w:szCs w:val="20"/>
                <w:u w:val="single"/>
              </w:rPr>
              <w:t>3</w:t>
            </w:r>
            <w:r>
              <w:rPr>
                <w:i/>
                <w:sz w:val="20"/>
                <w:szCs w:val="20"/>
              </w:rPr>
              <w:t xml:space="preserve">- </w:t>
            </w:r>
            <w:r w:rsidR="00600970" w:rsidRPr="00600970">
              <w:rPr>
                <w:rFonts w:cstheme="minorHAnsi"/>
                <w:i/>
                <w:sz w:val="20"/>
                <w:szCs w:val="20"/>
              </w:rPr>
              <w:t>L</w:t>
            </w:r>
            <w:r w:rsidR="00600970" w:rsidRPr="00600970">
              <w:rPr>
                <w:rFonts w:cstheme="minorHAnsi"/>
                <w:i/>
                <w:sz w:val="20"/>
                <w:szCs w:val="20"/>
              </w:rPr>
              <w:t>a mancata fornitura di informazioni</w:t>
            </w:r>
            <w:r w:rsidR="00600970" w:rsidRPr="00600970">
              <w:rPr>
                <w:rFonts w:cstheme="minorHAnsi"/>
                <w:i/>
                <w:sz w:val="20"/>
                <w:szCs w:val="20"/>
              </w:rPr>
              <w:t xml:space="preserve"> </w:t>
            </w:r>
            <w:r w:rsidR="00600970" w:rsidRPr="00600970">
              <w:rPr>
                <w:rFonts w:cstheme="minorHAnsi"/>
                <w:i/>
                <w:sz w:val="20"/>
                <w:szCs w:val="20"/>
              </w:rPr>
              <w:t xml:space="preserve">suppletive sulla natura reale dell'alimento o degli ingredienti </w:t>
            </w:r>
            <w:r w:rsidR="00600970" w:rsidRPr="00600970">
              <w:rPr>
                <w:rFonts w:cstheme="minorHAnsi"/>
                <w:i/>
                <w:sz w:val="20"/>
                <w:szCs w:val="20"/>
              </w:rPr>
              <w:t xml:space="preserve">in caso di commercializzazione in altro Stato membro </w:t>
            </w:r>
            <w:r w:rsidR="00600970" w:rsidRPr="00600970">
              <w:rPr>
                <w:rFonts w:cstheme="minorHAnsi"/>
                <w:i/>
                <w:sz w:val="20"/>
                <w:szCs w:val="20"/>
              </w:rPr>
              <w:t xml:space="preserve">quando ciò sia necessario </w:t>
            </w:r>
            <w:r w:rsidR="00600970" w:rsidRPr="00600970">
              <w:rPr>
                <w:rFonts w:cstheme="minorHAnsi"/>
                <w:i/>
                <w:sz w:val="20"/>
                <w:szCs w:val="20"/>
              </w:rPr>
              <w:t xml:space="preserve">per non </w:t>
            </w:r>
            <w:r w:rsidR="00600970" w:rsidRPr="00600970">
              <w:rPr>
                <w:rFonts w:cstheme="minorHAnsi"/>
                <w:i/>
                <w:sz w:val="20"/>
                <w:szCs w:val="20"/>
              </w:rPr>
              <w:t>confondere il prodotto con altri alimenti</w:t>
            </w:r>
            <w:r w:rsidR="00600970" w:rsidRPr="00600970">
              <w:rPr>
                <w:rFonts w:cstheme="minorHAnsi"/>
                <w:i/>
                <w:sz w:val="20"/>
                <w:szCs w:val="20"/>
              </w:rPr>
              <w:t>.</w:t>
            </w:r>
          </w:p>
          <w:p w:rsidR="00600970" w:rsidRDefault="00600970" w:rsidP="00600970">
            <w:pPr>
              <w:jc w:val="both"/>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500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4.000</w:t>
            </w:r>
          </w:p>
          <w:p w:rsidR="00600970" w:rsidRDefault="00600970" w:rsidP="00600970">
            <w:pPr>
              <w:autoSpaceDE w:val="0"/>
              <w:autoSpaceDN w:val="0"/>
              <w:adjustRightInd w:val="0"/>
              <w:jc w:val="both"/>
              <w:rPr>
                <w:i/>
                <w:sz w:val="20"/>
                <w:szCs w:val="20"/>
              </w:rPr>
            </w:pPr>
            <w:r w:rsidRPr="000D6A69">
              <w:rPr>
                <w:b/>
                <w:i/>
                <w:sz w:val="20"/>
                <w:szCs w:val="20"/>
                <w:u w:val="single"/>
              </w:rPr>
              <w:t xml:space="preserve">Comma </w:t>
            </w:r>
            <w:r>
              <w:rPr>
                <w:b/>
                <w:i/>
                <w:sz w:val="20"/>
                <w:szCs w:val="20"/>
                <w:u w:val="single"/>
              </w:rPr>
              <w:t>4</w:t>
            </w:r>
            <w:r>
              <w:rPr>
                <w:i/>
                <w:sz w:val="20"/>
                <w:szCs w:val="20"/>
              </w:rPr>
              <w:t xml:space="preserve">- </w:t>
            </w:r>
            <w:r w:rsidRPr="00600970">
              <w:rPr>
                <w:rFonts w:cstheme="minorHAnsi"/>
                <w:i/>
                <w:sz w:val="20"/>
                <w:szCs w:val="20"/>
              </w:rPr>
              <w:t xml:space="preserve">La </w:t>
            </w:r>
            <w:r w:rsidR="003E51E3">
              <w:rPr>
                <w:rFonts w:cstheme="minorHAnsi"/>
                <w:i/>
                <w:sz w:val="20"/>
                <w:szCs w:val="20"/>
              </w:rPr>
              <w:t>violazione della denominazione degli alimenti, ivi compresi gli ingredienti, e delle indicazioni specifiche previste dall’allegato VI del Regolamento.</w:t>
            </w:r>
          </w:p>
          <w:p w:rsidR="00600970" w:rsidRDefault="00600970" w:rsidP="00600970">
            <w:pPr>
              <w:jc w:val="both"/>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sidR="003E51E3">
              <w:rPr>
                <w:b/>
                <w:sz w:val="24"/>
                <w:szCs w:val="24"/>
                <w:shd w:val="clear" w:color="auto" w:fill="F7CAAC" w:themeFill="accent2" w:themeFillTint="66"/>
              </w:rPr>
              <w:t>1.</w:t>
            </w:r>
            <w:r>
              <w:rPr>
                <w:b/>
                <w:sz w:val="24"/>
                <w:szCs w:val="24"/>
                <w:shd w:val="clear" w:color="auto" w:fill="F7CAAC" w:themeFill="accent2" w:themeFillTint="66"/>
              </w:rPr>
              <w:t>00</w:t>
            </w:r>
            <w:r w:rsidR="003E51E3">
              <w:rPr>
                <w:b/>
                <w:sz w:val="24"/>
                <w:szCs w:val="24"/>
                <w:shd w:val="clear" w:color="auto" w:fill="F7CAAC" w:themeFill="accent2" w:themeFillTint="66"/>
              </w:rPr>
              <w:t>0</w:t>
            </w:r>
            <w:r w:rsidRPr="000D6A69">
              <w:rPr>
                <w:b/>
                <w:sz w:val="24"/>
                <w:szCs w:val="24"/>
                <w:shd w:val="clear" w:color="auto" w:fill="F7CAAC" w:themeFill="accent2" w:themeFillTint="66"/>
              </w:rPr>
              <w:t xml:space="preserve"> a € </w:t>
            </w:r>
            <w:r w:rsidR="003E51E3">
              <w:rPr>
                <w:b/>
                <w:sz w:val="24"/>
                <w:szCs w:val="24"/>
                <w:shd w:val="clear" w:color="auto" w:fill="F7CAAC" w:themeFill="accent2" w:themeFillTint="66"/>
              </w:rPr>
              <w:t>8</w:t>
            </w:r>
            <w:r>
              <w:rPr>
                <w:b/>
                <w:sz w:val="24"/>
                <w:szCs w:val="24"/>
                <w:shd w:val="clear" w:color="auto" w:fill="F7CAAC" w:themeFill="accent2" w:themeFillTint="66"/>
              </w:rPr>
              <w:t>.000</w:t>
            </w:r>
          </w:p>
          <w:p w:rsidR="003D299E" w:rsidRPr="003E51E3" w:rsidRDefault="003E51E3" w:rsidP="003E51E3">
            <w:pPr>
              <w:autoSpaceDE w:val="0"/>
              <w:autoSpaceDN w:val="0"/>
              <w:adjustRightInd w:val="0"/>
              <w:jc w:val="both"/>
              <w:rPr>
                <w:i/>
                <w:sz w:val="20"/>
                <w:szCs w:val="20"/>
              </w:rPr>
            </w:pPr>
            <w:r w:rsidRPr="000D6A69">
              <w:rPr>
                <w:b/>
                <w:i/>
                <w:sz w:val="20"/>
                <w:szCs w:val="20"/>
                <w:u w:val="single"/>
              </w:rPr>
              <w:t xml:space="preserve">Comma </w:t>
            </w:r>
            <w:r>
              <w:rPr>
                <w:b/>
                <w:i/>
                <w:sz w:val="20"/>
                <w:szCs w:val="20"/>
                <w:u w:val="single"/>
              </w:rPr>
              <w:t>5</w:t>
            </w:r>
            <w:r>
              <w:rPr>
                <w:i/>
                <w:sz w:val="20"/>
                <w:szCs w:val="20"/>
              </w:rPr>
              <w:t xml:space="preserve">- </w:t>
            </w:r>
            <w:r>
              <w:rPr>
                <w:rFonts w:cstheme="minorHAnsi"/>
                <w:i/>
                <w:sz w:val="20"/>
                <w:szCs w:val="20"/>
              </w:rPr>
              <w:t>Alle medesime sanzioni previste nei commi precedenti soggiace il soggetto responsabile che viola le disposizioni in materia di denominazione degli ingredienti.</w:t>
            </w:r>
          </w:p>
        </w:tc>
      </w:tr>
      <w:tr w:rsidR="003E51E3" w:rsidTr="00CB6F80">
        <w:tc>
          <w:tcPr>
            <w:tcW w:w="3231" w:type="dxa"/>
            <w:shd w:val="clear" w:color="auto" w:fill="auto"/>
          </w:tcPr>
          <w:p w:rsidR="003E51E3" w:rsidRDefault="003E51E3" w:rsidP="00CB6F80">
            <w:pPr>
              <w:shd w:val="clear" w:color="auto" w:fill="B4C6E7" w:themeFill="accent1" w:themeFillTint="66"/>
              <w:rPr>
                <w:b/>
                <w:sz w:val="24"/>
                <w:szCs w:val="24"/>
              </w:rPr>
            </w:pPr>
            <w:r w:rsidRPr="000D6A69">
              <w:rPr>
                <w:b/>
                <w:sz w:val="24"/>
                <w:szCs w:val="24"/>
              </w:rPr>
              <w:t xml:space="preserve">Articolo </w:t>
            </w:r>
            <w:r>
              <w:rPr>
                <w:b/>
                <w:sz w:val="24"/>
                <w:szCs w:val="24"/>
              </w:rPr>
              <w:t>9</w:t>
            </w:r>
          </w:p>
          <w:p w:rsidR="003E51E3" w:rsidRDefault="003E51E3" w:rsidP="00CB6F80">
            <w:pPr>
              <w:rPr>
                <w:b/>
                <w:sz w:val="24"/>
                <w:szCs w:val="24"/>
                <w:shd w:val="clear" w:color="auto" w:fill="F7CAAC" w:themeFill="accent2" w:themeFillTint="66"/>
              </w:rPr>
            </w:pPr>
          </w:p>
          <w:p w:rsidR="003E51E3" w:rsidRDefault="003E51E3" w:rsidP="00CB6F80">
            <w:pPr>
              <w:jc w:val="right"/>
              <w:rPr>
                <w:b/>
                <w:sz w:val="24"/>
                <w:szCs w:val="24"/>
              </w:rPr>
            </w:pPr>
          </w:p>
          <w:p w:rsidR="003E51E3" w:rsidRDefault="003E51E3" w:rsidP="00CB6F80">
            <w:pPr>
              <w:jc w:val="right"/>
              <w:rPr>
                <w:b/>
                <w:sz w:val="24"/>
                <w:szCs w:val="24"/>
              </w:rPr>
            </w:pPr>
          </w:p>
          <w:p w:rsidR="003E51E3" w:rsidRPr="000D6A69" w:rsidRDefault="003E51E3" w:rsidP="00CB6F80">
            <w:pPr>
              <w:jc w:val="right"/>
              <w:rPr>
                <w:b/>
                <w:sz w:val="24"/>
                <w:szCs w:val="24"/>
              </w:rPr>
            </w:pPr>
          </w:p>
        </w:tc>
        <w:tc>
          <w:tcPr>
            <w:tcW w:w="6463" w:type="dxa"/>
          </w:tcPr>
          <w:p w:rsidR="003E51E3" w:rsidRDefault="003E51E3" w:rsidP="00CB6F80">
            <w:pPr>
              <w:jc w:val="both"/>
              <w:rPr>
                <w:b/>
              </w:rPr>
            </w:pPr>
            <w:r w:rsidRPr="003E51E3">
              <w:rPr>
                <w:b/>
                <w:highlight w:val="yellow"/>
              </w:rPr>
              <w:t>Violazion</w:t>
            </w:r>
            <w:r w:rsidRPr="003E51E3">
              <w:rPr>
                <w:b/>
                <w:highlight w:val="yellow"/>
              </w:rPr>
              <w:t>i in materia di elenco degli ingredienti</w:t>
            </w:r>
          </w:p>
          <w:p w:rsidR="003E51E3" w:rsidRDefault="003E51E3" w:rsidP="00CB6F80">
            <w:pPr>
              <w:jc w:val="both"/>
              <w:rPr>
                <w:i/>
                <w:sz w:val="20"/>
                <w:szCs w:val="20"/>
              </w:rPr>
            </w:pPr>
            <w:r w:rsidRPr="000D6A69">
              <w:rPr>
                <w:b/>
                <w:i/>
                <w:sz w:val="20"/>
                <w:szCs w:val="20"/>
                <w:u w:val="single"/>
              </w:rPr>
              <w:t>Comma 1</w:t>
            </w:r>
            <w:r>
              <w:rPr>
                <w:i/>
                <w:sz w:val="20"/>
                <w:szCs w:val="20"/>
              </w:rPr>
              <w:t xml:space="preserve">- </w:t>
            </w:r>
            <w:r>
              <w:rPr>
                <w:i/>
                <w:sz w:val="20"/>
                <w:szCs w:val="20"/>
              </w:rPr>
              <w:t xml:space="preserve">La violazione delle disposizioni in materia di elencazione e denominazione degli ingredienti e sulla loro eventuale forma di nanomateriali come previsto dall’articolo 18 paragrafi 1 e 3 e dall’allegato VII del </w:t>
            </w:r>
            <w:proofErr w:type="spellStart"/>
            <w:r>
              <w:rPr>
                <w:i/>
                <w:sz w:val="20"/>
                <w:szCs w:val="20"/>
              </w:rPr>
              <w:t>Regolmento</w:t>
            </w:r>
            <w:proofErr w:type="spellEnd"/>
            <w:r>
              <w:rPr>
                <w:i/>
                <w:sz w:val="20"/>
                <w:szCs w:val="20"/>
              </w:rPr>
              <w:t>.</w:t>
            </w:r>
          </w:p>
          <w:p w:rsidR="003E51E3" w:rsidRPr="00DF11E7" w:rsidRDefault="003E51E3" w:rsidP="00CB6F80">
            <w:pPr>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2.0</w:t>
            </w:r>
            <w:r>
              <w:rPr>
                <w:b/>
                <w:sz w:val="24"/>
                <w:szCs w:val="24"/>
                <w:shd w:val="clear" w:color="auto" w:fill="F7CAAC" w:themeFill="accent2" w:themeFillTint="66"/>
              </w:rPr>
              <w:t>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16.</w:t>
            </w:r>
            <w:r>
              <w:rPr>
                <w:b/>
                <w:sz w:val="24"/>
                <w:szCs w:val="24"/>
                <w:shd w:val="clear" w:color="auto" w:fill="F7CAAC" w:themeFill="accent2" w:themeFillTint="66"/>
              </w:rPr>
              <w:t>000</w:t>
            </w:r>
          </w:p>
          <w:p w:rsidR="003E51E3" w:rsidRDefault="003E51E3" w:rsidP="003E51E3">
            <w:pPr>
              <w:jc w:val="both"/>
              <w:rPr>
                <w:i/>
                <w:sz w:val="20"/>
                <w:szCs w:val="20"/>
              </w:rPr>
            </w:pPr>
            <w:r w:rsidRPr="000D6A69">
              <w:rPr>
                <w:b/>
                <w:i/>
                <w:sz w:val="20"/>
                <w:szCs w:val="20"/>
                <w:u w:val="single"/>
              </w:rPr>
              <w:t xml:space="preserve">Comma </w:t>
            </w:r>
            <w:r>
              <w:rPr>
                <w:b/>
                <w:i/>
                <w:sz w:val="20"/>
                <w:szCs w:val="20"/>
                <w:u w:val="single"/>
              </w:rPr>
              <w:t>2-</w:t>
            </w:r>
            <w:r w:rsidRPr="00E17B52">
              <w:rPr>
                <w:b/>
                <w:i/>
                <w:sz w:val="20"/>
                <w:szCs w:val="20"/>
              </w:rPr>
              <w:t xml:space="preserve"> </w:t>
            </w:r>
            <w:r>
              <w:rPr>
                <w:i/>
                <w:sz w:val="20"/>
                <w:szCs w:val="20"/>
              </w:rPr>
              <w:t xml:space="preserve">Se la violazione di cui al comma precedente riguarda meri </w:t>
            </w:r>
            <w:proofErr w:type="gramStart"/>
            <w:r>
              <w:rPr>
                <w:i/>
                <w:sz w:val="20"/>
                <w:szCs w:val="20"/>
              </w:rPr>
              <w:t>errori  od</w:t>
            </w:r>
            <w:proofErr w:type="gramEnd"/>
            <w:r>
              <w:rPr>
                <w:i/>
                <w:sz w:val="20"/>
                <w:szCs w:val="20"/>
              </w:rPr>
              <w:t xml:space="preserve"> omissioni formali.</w:t>
            </w:r>
          </w:p>
          <w:p w:rsidR="00BC6B09" w:rsidRDefault="00BC6B09" w:rsidP="00BC6B09">
            <w:pPr>
              <w:jc w:val="both"/>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500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4.000</w:t>
            </w:r>
          </w:p>
          <w:p w:rsidR="00BC6B09" w:rsidRDefault="003E51E3" w:rsidP="00BC6B09">
            <w:pPr>
              <w:jc w:val="both"/>
              <w:rPr>
                <w:i/>
                <w:sz w:val="20"/>
                <w:szCs w:val="20"/>
              </w:rPr>
            </w:pPr>
            <w:r w:rsidRPr="000D6A69">
              <w:rPr>
                <w:b/>
                <w:i/>
                <w:sz w:val="20"/>
                <w:szCs w:val="20"/>
                <w:u w:val="single"/>
              </w:rPr>
              <w:t xml:space="preserve">Comma </w:t>
            </w:r>
            <w:r w:rsidR="00BC6B09">
              <w:rPr>
                <w:b/>
                <w:i/>
                <w:sz w:val="20"/>
                <w:szCs w:val="20"/>
                <w:u w:val="single"/>
              </w:rPr>
              <w:t>3</w:t>
            </w:r>
            <w:r>
              <w:rPr>
                <w:i/>
                <w:sz w:val="20"/>
                <w:szCs w:val="20"/>
              </w:rPr>
              <w:t xml:space="preserve">- </w:t>
            </w:r>
            <w:r w:rsidR="00BC6B09">
              <w:rPr>
                <w:i/>
                <w:sz w:val="20"/>
                <w:szCs w:val="20"/>
              </w:rPr>
              <w:t xml:space="preserve">La violazione delle disposizioni </w:t>
            </w:r>
            <w:r w:rsidR="00BC6B09">
              <w:rPr>
                <w:i/>
                <w:sz w:val="20"/>
                <w:szCs w:val="20"/>
              </w:rPr>
              <w:t>su indicazione e designazione</w:t>
            </w:r>
            <w:r w:rsidR="00BC6B09">
              <w:rPr>
                <w:i/>
                <w:sz w:val="20"/>
                <w:szCs w:val="20"/>
              </w:rPr>
              <w:t xml:space="preserve"> denominazione degli ingredienti </w:t>
            </w:r>
            <w:r w:rsidR="00BC6B09">
              <w:rPr>
                <w:i/>
                <w:sz w:val="20"/>
                <w:szCs w:val="20"/>
              </w:rPr>
              <w:t>come</w:t>
            </w:r>
            <w:r w:rsidR="00BC6B09">
              <w:rPr>
                <w:i/>
                <w:sz w:val="20"/>
                <w:szCs w:val="20"/>
              </w:rPr>
              <w:t xml:space="preserve"> dall’allegato VII del Regol</w:t>
            </w:r>
            <w:r w:rsidR="00BC6B09">
              <w:rPr>
                <w:i/>
                <w:sz w:val="20"/>
                <w:szCs w:val="20"/>
              </w:rPr>
              <w:t>a</w:t>
            </w:r>
            <w:r w:rsidR="00BC6B09">
              <w:rPr>
                <w:i/>
                <w:sz w:val="20"/>
                <w:szCs w:val="20"/>
              </w:rPr>
              <w:t>mento</w:t>
            </w:r>
            <w:r w:rsidR="00BC6B09">
              <w:rPr>
                <w:i/>
                <w:sz w:val="20"/>
                <w:szCs w:val="20"/>
              </w:rPr>
              <w:t>, fatte salve le deroghe ivi previste.</w:t>
            </w:r>
          </w:p>
          <w:p w:rsidR="003E51E3" w:rsidRDefault="003E51E3" w:rsidP="00CB6F80">
            <w:pPr>
              <w:jc w:val="both"/>
              <w:rPr>
                <w:b/>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1.000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8.000</w:t>
            </w:r>
          </w:p>
        </w:tc>
      </w:tr>
      <w:tr w:rsidR="00BC6B09" w:rsidTr="00CB6F80">
        <w:tc>
          <w:tcPr>
            <w:tcW w:w="3231" w:type="dxa"/>
            <w:shd w:val="clear" w:color="auto" w:fill="auto"/>
          </w:tcPr>
          <w:p w:rsidR="00BC6B09" w:rsidRDefault="00BC6B09" w:rsidP="00CB6F80">
            <w:pPr>
              <w:shd w:val="clear" w:color="auto" w:fill="B4C6E7" w:themeFill="accent1" w:themeFillTint="66"/>
              <w:rPr>
                <w:b/>
                <w:sz w:val="24"/>
                <w:szCs w:val="24"/>
              </w:rPr>
            </w:pPr>
            <w:r w:rsidRPr="000D6A69">
              <w:rPr>
                <w:b/>
                <w:sz w:val="24"/>
                <w:szCs w:val="24"/>
              </w:rPr>
              <w:t xml:space="preserve">Articolo </w:t>
            </w:r>
            <w:r>
              <w:rPr>
                <w:b/>
                <w:sz w:val="24"/>
                <w:szCs w:val="24"/>
              </w:rPr>
              <w:t>10</w:t>
            </w:r>
          </w:p>
          <w:p w:rsidR="00BC6B09" w:rsidRDefault="00BC6B09" w:rsidP="00CB6F80">
            <w:pPr>
              <w:rPr>
                <w:b/>
                <w:sz w:val="24"/>
                <w:szCs w:val="24"/>
                <w:shd w:val="clear" w:color="auto" w:fill="F7CAAC" w:themeFill="accent2" w:themeFillTint="66"/>
              </w:rPr>
            </w:pPr>
          </w:p>
          <w:p w:rsidR="00BC6B09" w:rsidRDefault="00BC6B09" w:rsidP="00CB6F80">
            <w:pPr>
              <w:jc w:val="right"/>
              <w:rPr>
                <w:b/>
                <w:sz w:val="24"/>
                <w:szCs w:val="24"/>
              </w:rPr>
            </w:pPr>
          </w:p>
          <w:p w:rsidR="00BC6B09" w:rsidRDefault="00BC6B09" w:rsidP="00CB6F80">
            <w:pPr>
              <w:jc w:val="right"/>
              <w:rPr>
                <w:b/>
                <w:sz w:val="24"/>
                <w:szCs w:val="24"/>
              </w:rPr>
            </w:pPr>
          </w:p>
          <w:p w:rsidR="00BC6B09" w:rsidRPr="000D6A69" w:rsidRDefault="00BC6B09" w:rsidP="00CB6F80">
            <w:pPr>
              <w:jc w:val="right"/>
              <w:rPr>
                <w:b/>
                <w:sz w:val="24"/>
                <w:szCs w:val="24"/>
              </w:rPr>
            </w:pPr>
          </w:p>
        </w:tc>
        <w:tc>
          <w:tcPr>
            <w:tcW w:w="6463" w:type="dxa"/>
          </w:tcPr>
          <w:p w:rsidR="00BC6B09" w:rsidRDefault="00BC6B09" w:rsidP="00CB6F80">
            <w:pPr>
              <w:jc w:val="both"/>
              <w:rPr>
                <w:b/>
              </w:rPr>
            </w:pPr>
            <w:r w:rsidRPr="003E51E3">
              <w:rPr>
                <w:b/>
                <w:highlight w:val="yellow"/>
              </w:rPr>
              <w:t xml:space="preserve">Violazioni in </w:t>
            </w:r>
            <w:r w:rsidRPr="00BC6B09">
              <w:rPr>
                <w:b/>
                <w:highlight w:val="yellow"/>
              </w:rPr>
              <w:t xml:space="preserve">materia di </w:t>
            </w:r>
            <w:r w:rsidRPr="00BC6B09">
              <w:rPr>
                <w:b/>
                <w:highlight w:val="yellow"/>
              </w:rPr>
              <w:t>requisiti nell’indicazione degli allergeni di cui all’articolo 21 del Regolamento</w:t>
            </w:r>
          </w:p>
          <w:p w:rsidR="00BC6B09" w:rsidRPr="00DF11E7" w:rsidRDefault="00BC6B09" w:rsidP="00BC6B09">
            <w:pPr>
              <w:jc w:val="both"/>
              <w:rPr>
                <w:b/>
                <w:sz w:val="24"/>
                <w:szCs w:val="24"/>
                <w:shd w:val="clear" w:color="auto" w:fill="F7CAAC" w:themeFill="accent2" w:themeFillTint="66"/>
              </w:rPr>
            </w:pPr>
            <w:r>
              <w:rPr>
                <w:i/>
                <w:sz w:val="20"/>
                <w:szCs w:val="20"/>
              </w:rPr>
              <w:t xml:space="preserve">La violazione delle disposizioni in materia </w:t>
            </w:r>
            <w:r>
              <w:rPr>
                <w:i/>
                <w:sz w:val="20"/>
                <w:szCs w:val="20"/>
              </w:rPr>
              <w:t>etichettatura delle sostanze o prodotti che possono provocare allergie o intolleranze.</w:t>
            </w:r>
          </w:p>
          <w:p w:rsidR="00BC6B09" w:rsidRDefault="00BC6B09" w:rsidP="00CB6F80">
            <w:pPr>
              <w:jc w:val="both"/>
              <w:rPr>
                <w:b/>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2</w:t>
            </w:r>
            <w:r>
              <w:rPr>
                <w:b/>
                <w:sz w:val="24"/>
                <w:szCs w:val="24"/>
                <w:shd w:val="clear" w:color="auto" w:fill="F7CAAC" w:themeFill="accent2" w:themeFillTint="66"/>
              </w:rPr>
              <w:t>.000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16</w:t>
            </w:r>
            <w:r>
              <w:rPr>
                <w:b/>
                <w:sz w:val="24"/>
                <w:szCs w:val="24"/>
                <w:shd w:val="clear" w:color="auto" w:fill="F7CAAC" w:themeFill="accent2" w:themeFillTint="66"/>
              </w:rPr>
              <w:t>.000</w:t>
            </w:r>
          </w:p>
        </w:tc>
      </w:tr>
      <w:tr w:rsidR="00BC6B09" w:rsidTr="00CB6F80">
        <w:tc>
          <w:tcPr>
            <w:tcW w:w="3231" w:type="dxa"/>
            <w:shd w:val="clear" w:color="auto" w:fill="auto"/>
          </w:tcPr>
          <w:p w:rsidR="00BC6B09" w:rsidRDefault="00BC6B09" w:rsidP="00CB6F80">
            <w:pPr>
              <w:shd w:val="clear" w:color="auto" w:fill="B4C6E7" w:themeFill="accent1" w:themeFillTint="66"/>
              <w:rPr>
                <w:b/>
                <w:sz w:val="24"/>
                <w:szCs w:val="24"/>
              </w:rPr>
            </w:pPr>
            <w:r w:rsidRPr="000D6A69">
              <w:rPr>
                <w:b/>
                <w:sz w:val="24"/>
                <w:szCs w:val="24"/>
              </w:rPr>
              <w:t xml:space="preserve">Articolo </w:t>
            </w:r>
            <w:r>
              <w:rPr>
                <w:b/>
                <w:sz w:val="24"/>
                <w:szCs w:val="24"/>
              </w:rPr>
              <w:t>1</w:t>
            </w:r>
            <w:r>
              <w:rPr>
                <w:b/>
                <w:sz w:val="24"/>
                <w:szCs w:val="24"/>
              </w:rPr>
              <w:t>1</w:t>
            </w:r>
          </w:p>
          <w:p w:rsidR="00BC6B09" w:rsidRDefault="00BC6B09" w:rsidP="00CB6F80">
            <w:pPr>
              <w:rPr>
                <w:b/>
                <w:sz w:val="24"/>
                <w:szCs w:val="24"/>
                <w:shd w:val="clear" w:color="auto" w:fill="F7CAAC" w:themeFill="accent2" w:themeFillTint="66"/>
              </w:rPr>
            </w:pPr>
          </w:p>
          <w:p w:rsidR="00BC6B09" w:rsidRDefault="00BC6B09" w:rsidP="00CB6F80">
            <w:pPr>
              <w:jc w:val="right"/>
              <w:rPr>
                <w:b/>
                <w:sz w:val="24"/>
                <w:szCs w:val="24"/>
              </w:rPr>
            </w:pPr>
          </w:p>
          <w:p w:rsidR="00BC6B09" w:rsidRDefault="00BC6B09" w:rsidP="00CB6F80">
            <w:pPr>
              <w:jc w:val="right"/>
              <w:rPr>
                <w:b/>
                <w:sz w:val="24"/>
                <w:szCs w:val="24"/>
              </w:rPr>
            </w:pPr>
          </w:p>
          <w:p w:rsidR="00BC6B09" w:rsidRPr="000D6A69" w:rsidRDefault="00BC6B09" w:rsidP="00CB6F80">
            <w:pPr>
              <w:jc w:val="right"/>
              <w:rPr>
                <w:b/>
                <w:sz w:val="24"/>
                <w:szCs w:val="24"/>
              </w:rPr>
            </w:pPr>
          </w:p>
        </w:tc>
        <w:tc>
          <w:tcPr>
            <w:tcW w:w="6463" w:type="dxa"/>
          </w:tcPr>
          <w:p w:rsidR="00BC6B09" w:rsidRDefault="00BC6B09" w:rsidP="00CB6F80">
            <w:pPr>
              <w:jc w:val="both"/>
              <w:rPr>
                <w:b/>
              </w:rPr>
            </w:pPr>
            <w:r w:rsidRPr="00BC6B09">
              <w:rPr>
                <w:b/>
                <w:highlight w:val="yellow"/>
              </w:rPr>
              <w:t xml:space="preserve">Violazioni in materia di requisiti </w:t>
            </w:r>
            <w:r w:rsidRPr="00BC6B09">
              <w:rPr>
                <w:b/>
                <w:highlight w:val="yellow"/>
              </w:rPr>
              <w:t>di indicazione quantitativa degli ingredienti e in materia di indicazione della quantità netta</w:t>
            </w:r>
          </w:p>
          <w:p w:rsidR="00BC6B09" w:rsidRPr="00DF11E7" w:rsidRDefault="00BC6B09" w:rsidP="00CB6F80">
            <w:pPr>
              <w:jc w:val="both"/>
              <w:rPr>
                <w:b/>
                <w:sz w:val="24"/>
                <w:szCs w:val="24"/>
                <w:shd w:val="clear" w:color="auto" w:fill="F7CAAC" w:themeFill="accent2" w:themeFillTint="66"/>
              </w:rPr>
            </w:pPr>
            <w:r>
              <w:rPr>
                <w:i/>
                <w:sz w:val="20"/>
                <w:szCs w:val="20"/>
              </w:rPr>
              <w:t>La mancata indicazione della quantità di un ingrediente o di una categoria di ingredienti utilizzati nel prodotto</w:t>
            </w:r>
            <w:r w:rsidR="002C67F3">
              <w:rPr>
                <w:i/>
                <w:sz w:val="20"/>
                <w:szCs w:val="20"/>
              </w:rPr>
              <w:t xml:space="preserve"> </w:t>
            </w:r>
            <w:proofErr w:type="gramStart"/>
            <w:r w:rsidR="002C67F3">
              <w:rPr>
                <w:i/>
                <w:sz w:val="20"/>
                <w:szCs w:val="20"/>
              </w:rPr>
              <w:t>( art.</w:t>
            </w:r>
            <w:proofErr w:type="gramEnd"/>
            <w:r w:rsidR="002C67F3">
              <w:rPr>
                <w:i/>
                <w:sz w:val="20"/>
                <w:szCs w:val="20"/>
              </w:rPr>
              <w:t>22 del Regolamento)</w:t>
            </w:r>
            <w:r>
              <w:rPr>
                <w:i/>
                <w:sz w:val="20"/>
                <w:szCs w:val="20"/>
              </w:rPr>
              <w:t xml:space="preserve"> ovvero la mancata indicazione della quantità netta di un prodotto</w:t>
            </w:r>
            <w:r w:rsidR="002C67F3">
              <w:rPr>
                <w:i/>
                <w:sz w:val="20"/>
                <w:szCs w:val="20"/>
              </w:rPr>
              <w:t xml:space="preserve"> (art.23 del Regolamento)</w:t>
            </w:r>
          </w:p>
          <w:p w:rsidR="00BC6B09" w:rsidRDefault="002C67F3" w:rsidP="00CB6F80">
            <w:pPr>
              <w:jc w:val="both"/>
              <w:rPr>
                <w:b/>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1.000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8.000(*)</w:t>
            </w:r>
          </w:p>
        </w:tc>
      </w:tr>
      <w:tr w:rsidR="002C67F3" w:rsidTr="00CB6F80">
        <w:tc>
          <w:tcPr>
            <w:tcW w:w="3231" w:type="dxa"/>
            <w:shd w:val="clear" w:color="auto" w:fill="auto"/>
          </w:tcPr>
          <w:p w:rsidR="002C67F3" w:rsidRDefault="002C67F3" w:rsidP="00CB6F80">
            <w:pPr>
              <w:shd w:val="clear" w:color="auto" w:fill="B4C6E7" w:themeFill="accent1" w:themeFillTint="66"/>
              <w:rPr>
                <w:b/>
                <w:sz w:val="24"/>
                <w:szCs w:val="24"/>
              </w:rPr>
            </w:pPr>
            <w:r w:rsidRPr="000D6A69">
              <w:rPr>
                <w:b/>
                <w:sz w:val="24"/>
                <w:szCs w:val="24"/>
              </w:rPr>
              <w:t xml:space="preserve">Articolo </w:t>
            </w:r>
            <w:r>
              <w:rPr>
                <w:b/>
                <w:sz w:val="24"/>
                <w:szCs w:val="24"/>
              </w:rPr>
              <w:t>1</w:t>
            </w:r>
            <w:r>
              <w:rPr>
                <w:b/>
                <w:sz w:val="24"/>
                <w:szCs w:val="24"/>
              </w:rPr>
              <w:t>2</w:t>
            </w:r>
          </w:p>
          <w:p w:rsidR="002C67F3" w:rsidRDefault="002C67F3" w:rsidP="00CB6F80">
            <w:pPr>
              <w:rPr>
                <w:b/>
                <w:sz w:val="24"/>
                <w:szCs w:val="24"/>
                <w:shd w:val="clear" w:color="auto" w:fill="F7CAAC" w:themeFill="accent2" w:themeFillTint="66"/>
              </w:rPr>
            </w:pPr>
          </w:p>
          <w:p w:rsidR="002C67F3" w:rsidRDefault="002C67F3" w:rsidP="00CB6F80">
            <w:pPr>
              <w:jc w:val="right"/>
              <w:rPr>
                <w:b/>
                <w:sz w:val="24"/>
                <w:szCs w:val="24"/>
              </w:rPr>
            </w:pPr>
          </w:p>
          <w:p w:rsidR="002C67F3" w:rsidRDefault="002C67F3" w:rsidP="00CB6F80">
            <w:pPr>
              <w:jc w:val="right"/>
              <w:rPr>
                <w:b/>
                <w:sz w:val="24"/>
                <w:szCs w:val="24"/>
              </w:rPr>
            </w:pPr>
          </w:p>
          <w:p w:rsidR="002C67F3" w:rsidRPr="000D6A69" w:rsidRDefault="002C67F3" w:rsidP="00CB6F80">
            <w:pPr>
              <w:jc w:val="right"/>
              <w:rPr>
                <w:b/>
                <w:sz w:val="24"/>
                <w:szCs w:val="24"/>
              </w:rPr>
            </w:pPr>
          </w:p>
        </w:tc>
        <w:tc>
          <w:tcPr>
            <w:tcW w:w="6463" w:type="dxa"/>
          </w:tcPr>
          <w:p w:rsidR="002C67F3" w:rsidRDefault="002C67F3" w:rsidP="002C67F3">
            <w:pPr>
              <w:jc w:val="both"/>
              <w:rPr>
                <w:b/>
              </w:rPr>
            </w:pPr>
            <w:r w:rsidRPr="002C67F3">
              <w:rPr>
                <w:b/>
                <w:highlight w:val="yellow"/>
              </w:rPr>
              <w:t xml:space="preserve">Violazioni in materia di </w:t>
            </w:r>
            <w:r w:rsidRPr="002C67F3">
              <w:rPr>
                <w:b/>
                <w:highlight w:val="yellow"/>
              </w:rPr>
              <w:t>termine minimo di conservazione, data di scadenza e data di congelamento</w:t>
            </w:r>
          </w:p>
          <w:p w:rsidR="002C67F3" w:rsidRDefault="002C67F3" w:rsidP="002C67F3">
            <w:pPr>
              <w:jc w:val="both"/>
              <w:rPr>
                <w:i/>
                <w:sz w:val="20"/>
                <w:szCs w:val="20"/>
              </w:rPr>
            </w:pPr>
            <w:r w:rsidRPr="000D6A69">
              <w:rPr>
                <w:b/>
                <w:i/>
                <w:sz w:val="20"/>
                <w:szCs w:val="20"/>
                <w:u w:val="single"/>
              </w:rPr>
              <w:t>Comma 1</w:t>
            </w:r>
            <w:r>
              <w:rPr>
                <w:i/>
                <w:sz w:val="20"/>
                <w:szCs w:val="20"/>
              </w:rPr>
              <w:t xml:space="preserve">- La violazione delle disposizioni </w:t>
            </w:r>
            <w:r>
              <w:rPr>
                <w:i/>
                <w:sz w:val="20"/>
                <w:szCs w:val="20"/>
              </w:rPr>
              <w:t>di cui all’art.24 del Regolamento e del suo allegato X in materia di termine minimo di conservazione, fatte salve le deroghe previste.</w:t>
            </w:r>
          </w:p>
          <w:p w:rsidR="002C67F3" w:rsidRPr="00DF11E7" w:rsidRDefault="002C67F3" w:rsidP="002C67F3">
            <w:pPr>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1</w:t>
            </w:r>
            <w:r>
              <w:rPr>
                <w:b/>
                <w:sz w:val="24"/>
                <w:szCs w:val="24"/>
                <w:shd w:val="clear" w:color="auto" w:fill="F7CAAC" w:themeFill="accent2" w:themeFillTint="66"/>
              </w:rPr>
              <w:t>.000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8</w:t>
            </w:r>
            <w:r>
              <w:rPr>
                <w:b/>
                <w:sz w:val="24"/>
                <w:szCs w:val="24"/>
                <w:shd w:val="clear" w:color="auto" w:fill="F7CAAC" w:themeFill="accent2" w:themeFillTint="66"/>
              </w:rPr>
              <w:t>.000</w:t>
            </w:r>
          </w:p>
          <w:p w:rsidR="002C67F3" w:rsidRDefault="002C67F3" w:rsidP="002C67F3">
            <w:pPr>
              <w:jc w:val="both"/>
              <w:rPr>
                <w:i/>
                <w:sz w:val="20"/>
                <w:szCs w:val="20"/>
              </w:rPr>
            </w:pPr>
            <w:r w:rsidRPr="000D6A69">
              <w:rPr>
                <w:b/>
                <w:i/>
                <w:sz w:val="20"/>
                <w:szCs w:val="20"/>
                <w:u w:val="single"/>
              </w:rPr>
              <w:t xml:space="preserve">Comma </w:t>
            </w:r>
            <w:r>
              <w:rPr>
                <w:b/>
                <w:i/>
                <w:sz w:val="20"/>
                <w:szCs w:val="20"/>
                <w:u w:val="single"/>
              </w:rPr>
              <w:t>2-</w:t>
            </w:r>
            <w:r w:rsidRPr="00E17B52">
              <w:rPr>
                <w:b/>
                <w:i/>
                <w:sz w:val="20"/>
                <w:szCs w:val="20"/>
              </w:rPr>
              <w:t xml:space="preserve"> </w:t>
            </w:r>
            <w:r>
              <w:rPr>
                <w:i/>
                <w:sz w:val="20"/>
                <w:szCs w:val="20"/>
              </w:rPr>
              <w:t xml:space="preserve">La violazione delle disposizioni di cui all’art.24 del Regolamento e del suo allegato X in materia di </w:t>
            </w:r>
            <w:r>
              <w:rPr>
                <w:i/>
                <w:sz w:val="20"/>
                <w:szCs w:val="20"/>
              </w:rPr>
              <w:t>data di scadenza e data di congelamento della carne, preparazioni di carni ne prodotti della pesca non trasformati congelati, fatte salve le deroghe previste.</w:t>
            </w:r>
          </w:p>
          <w:p w:rsidR="002C67F3" w:rsidRDefault="002C67F3" w:rsidP="002C67F3">
            <w:pPr>
              <w:jc w:val="both"/>
              <w:rPr>
                <w:b/>
                <w:sz w:val="24"/>
                <w:szCs w:val="24"/>
                <w:shd w:val="clear" w:color="auto" w:fill="F7CAAC" w:themeFill="accent2" w:themeFillTint="66"/>
              </w:rPr>
            </w:pPr>
            <w:r w:rsidRPr="000D6A69">
              <w:rPr>
                <w:b/>
                <w:sz w:val="24"/>
                <w:szCs w:val="24"/>
                <w:shd w:val="clear" w:color="auto" w:fill="F7CAAC" w:themeFill="accent2" w:themeFillTint="66"/>
              </w:rPr>
              <w:lastRenderedPageBreak/>
              <w:t xml:space="preserve">Da € </w:t>
            </w:r>
            <w:r>
              <w:rPr>
                <w:b/>
                <w:sz w:val="24"/>
                <w:szCs w:val="24"/>
                <w:shd w:val="clear" w:color="auto" w:fill="F7CAAC" w:themeFill="accent2" w:themeFillTint="66"/>
              </w:rPr>
              <w:t>2.0</w:t>
            </w:r>
            <w:r>
              <w:rPr>
                <w:b/>
                <w:sz w:val="24"/>
                <w:szCs w:val="24"/>
                <w:shd w:val="clear" w:color="auto" w:fill="F7CAAC" w:themeFill="accent2" w:themeFillTint="66"/>
              </w:rPr>
              <w:t>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16</w:t>
            </w:r>
            <w:r>
              <w:rPr>
                <w:b/>
                <w:sz w:val="24"/>
                <w:szCs w:val="24"/>
                <w:shd w:val="clear" w:color="auto" w:fill="F7CAAC" w:themeFill="accent2" w:themeFillTint="66"/>
              </w:rPr>
              <w:t>.000</w:t>
            </w:r>
          </w:p>
          <w:p w:rsidR="002C67F3" w:rsidRDefault="002C67F3" w:rsidP="002C67F3">
            <w:pPr>
              <w:jc w:val="both"/>
              <w:rPr>
                <w:i/>
                <w:sz w:val="20"/>
                <w:szCs w:val="20"/>
              </w:rPr>
            </w:pPr>
            <w:r w:rsidRPr="000D6A69">
              <w:rPr>
                <w:b/>
                <w:i/>
                <w:sz w:val="20"/>
                <w:szCs w:val="20"/>
                <w:u w:val="single"/>
              </w:rPr>
              <w:t xml:space="preserve">Comma </w:t>
            </w:r>
            <w:r>
              <w:rPr>
                <w:b/>
                <w:i/>
                <w:sz w:val="20"/>
                <w:szCs w:val="20"/>
                <w:u w:val="single"/>
              </w:rPr>
              <w:t>3</w:t>
            </w:r>
            <w:r>
              <w:rPr>
                <w:i/>
                <w:sz w:val="20"/>
                <w:szCs w:val="20"/>
              </w:rPr>
              <w:t xml:space="preserve">- </w:t>
            </w:r>
            <w:r>
              <w:rPr>
                <w:i/>
                <w:sz w:val="20"/>
                <w:szCs w:val="20"/>
              </w:rPr>
              <w:t>La vendita o l’esposizione per la vendita al consumatore finale di un alimento scaduto ai sensi dell’articolo 24 del Regolamento, da parte del cedente o del soggetto che espone l’alimento.</w:t>
            </w:r>
          </w:p>
          <w:p w:rsidR="002C67F3" w:rsidRDefault="002C67F3" w:rsidP="002C67F3">
            <w:pPr>
              <w:jc w:val="both"/>
              <w:rPr>
                <w:b/>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5</w:t>
            </w:r>
            <w:r>
              <w:rPr>
                <w:b/>
                <w:sz w:val="24"/>
                <w:szCs w:val="24"/>
                <w:shd w:val="clear" w:color="auto" w:fill="F7CAAC" w:themeFill="accent2" w:themeFillTint="66"/>
              </w:rPr>
              <w:t>.000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40</w:t>
            </w:r>
            <w:r>
              <w:rPr>
                <w:b/>
                <w:sz w:val="24"/>
                <w:szCs w:val="24"/>
                <w:shd w:val="clear" w:color="auto" w:fill="F7CAAC" w:themeFill="accent2" w:themeFillTint="66"/>
              </w:rPr>
              <w:t>.0000(*)</w:t>
            </w:r>
          </w:p>
        </w:tc>
      </w:tr>
      <w:tr w:rsidR="002C67F3" w:rsidTr="00CB6F80">
        <w:tc>
          <w:tcPr>
            <w:tcW w:w="3231" w:type="dxa"/>
            <w:shd w:val="clear" w:color="auto" w:fill="auto"/>
          </w:tcPr>
          <w:p w:rsidR="002C67F3" w:rsidRDefault="002C67F3" w:rsidP="00CB6F80">
            <w:pPr>
              <w:shd w:val="clear" w:color="auto" w:fill="B4C6E7" w:themeFill="accent1" w:themeFillTint="66"/>
              <w:rPr>
                <w:b/>
                <w:sz w:val="24"/>
                <w:szCs w:val="24"/>
              </w:rPr>
            </w:pPr>
            <w:r w:rsidRPr="000D6A69">
              <w:rPr>
                <w:b/>
                <w:sz w:val="24"/>
                <w:szCs w:val="24"/>
              </w:rPr>
              <w:lastRenderedPageBreak/>
              <w:t xml:space="preserve">Articolo </w:t>
            </w:r>
            <w:r>
              <w:rPr>
                <w:b/>
                <w:sz w:val="24"/>
                <w:szCs w:val="24"/>
              </w:rPr>
              <w:t>1</w:t>
            </w:r>
            <w:r>
              <w:rPr>
                <w:b/>
                <w:sz w:val="24"/>
                <w:szCs w:val="24"/>
              </w:rPr>
              <w:t>3</w:t>
            </w:r>
          </w:p>
          <w:p w:rsidR="002C67F3" w:rsidRDefault="002C67F3" w:rsidP="00CB6F80">
            <w:pPr>
              <w:rPr>
                <w:b/>
                <w:sz w:val="24"/>
                <w:szCs w:val="24"/>
                <w:shd w:val="clear" w:color="auto" w:fill="F7CAAC" w:themeFill="accent2" w:themeFillTint="66"/>
              </w:rPr>
            </w:pPr>
          </w:p>
          <w:p w:rsidR="002C67F3" w:rsidRDefault="002C67F3" w:rsidP="00CB6F80">
            <w:pPr>
              <w:jc w:val="right"/>
              <w:rPr>
                <w:b/>
                <w:sz w:val="24"/>
                <w:szCs w:val="24"/>
              </w:rPr>
            </w:pPr>
          </w:p>
          <w:p w:rsidR="002C67F3" w:rsidRDefault="002C67F3" w:rsidP="00CB6F80">
            <w:pPr>
              <w:jc w:val="right"/>
              <w:rPr>
                <w:b/>
                <w:sz w:val="24"/>
                <w:szCs w:val="24"/>
              </w:rPr>
            </w:pPr>
          </w:p>
          <w:p w:rsidR="002C67F3" w:rsidRPr="000D6A69" w:rsidRDefault="002C67F3" w:rsidP="00CB6F80">
            <w:pPr>
              <w:jc w:val="right"/>
              <w:rPr>
                <w:b/>
                <w:sz w:val="24"/>
                <w:szCs w:val="24"/>
              </w:rPr>
            </w:pPr>
          </w:p>
        </w:tc>
        <w:tc>
          <w:tcPr>
            <w:tcW w:w="6463" w:type="dxa"/>
          </w:tcPr>
          <w:p w:rsidR="002C67F3" w:rsidRDefault="002C67F3" w:rsidP="00CB6F80">
            <w:pPr>
              <w:jc w:val="both"/>
              <w:rPr>
                <w:b/>
              </w:rPr>
            </w:pPr>
            <w:r w:rsidRPr="002C67F3">
              <w:rPr>
                <w:b/>
                <w:highlight w:val="yellow"/>
              </w:rPr>
              <w:t xml:space="preserve">Violazioni in materia di </w:t>
            </w:r>
            <w:r w:rsidRPr="002C67F3">
              <w:rPr>
                <w:b/>
                <w:highlight w:val="yellow"/>
              </w:rPr>
              <w:t>indicazione del paese di origine o luogo di provenienza</w:t>
            </w:r>
          </w:p>
          <w:p w:rsidR="002C67F3" w:rsidRDefault="002C67F3" w:rsidP="00CB6F80">
            <w:pPr>
              <w:jc w:val="both"/>
              <w:rPr>
                <w:i/>
                <w:sz w:val="20"/>
                <w:szCs w:val="20"/>
              </w:rPr>
            </w:pPr>
            <w:r w:rsidRPr="000D6A69">
              <w:rPr>
                <w:b/>
                <w:i/>
                <w:sz w:val="20"/>
                <w:szCs w:val="20"/>
                <w:u w:val="single"/>
              </w:rPr>
              <w:t>Comma 1</w:t>
            </w:r>
            <w:r>
              <w:rPr>
                <w:i/>
                <w:sz w:val="20"/>
                <w:szCs w:val="20"/>
              </w:rPr>
              <w:t>- La violazione delle disposizioni di cui all’art.2</w:t>
            </w:r>
            <w:r w:rsidR="00A66AE2">
              <w:rPr>
                <w:i/>
                <w:sz w:val="20"/>
                <w:szCs w:val="20"/>
              </w:rPr>
              <w:t>6</w:t>
            </w:r>
            <w:r>
              <w:rPr>
                <w:i/>
                <w:sz w:val="20"/>
                <w:szCs w:val="20"/>
              </w:rPr>
              <w:t xml:space="preserve"> del Regolamento e </w:t>
            </w:r>
            <w:r w:rsidR="00A66AE2">
              <w:rPr>
                <w:i/>
                <w:sz w:val="20"/>
                <w:szCs w:val="20"/>
              </w:rPr>
              <w:t>relative a contenuti e modalità dell’indicazione del paese di origine o del luogo di provenienza da parte del soggetto responsabile</w:t>
            </w:r>
          </w:p>
          <w:p w:rsidR="00A66AE2" w:rsidRDefault="00A66AE2" w:rsidP="00A66AE2">
            <w:pPr>
              <w:jc w:val="both"/>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2.000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16.000</w:t>
            </w:r>
            <w:r>
              <w:rPr>
                <w:b/>
                <w:sz w:val="24"/>
                <w:szCs w:val="24"/>
                <w:shd w:val="clear" w:color="auto" w:fill="F7CAAC" w:themeFill="accent2" w:themeFillTint="66"/>
              </w:rPr>
              <w:t>(*)</w:t>
            </w:r>
          </w:p>
          <w:p w:rsidR="00A66AE2" w:rsidRDefault="00A66AE2" w:rsidP="00A66AE2">
            <w:pPr>
              <w:jc w:val="both"/>
              <w:rPr>
                <w:i/>
                <w:sz w:val="20"/>
                <w:szCs w:val="20"/>
              </w:rPr>
            </w:pPr>
            <w:r w:rsidRPr="000D6A69">
              <w:rPr>
                <w:b/>
                <w:i/>
                <w:sz w:val="20"/>
                <w:szCs w:val="20"/>
                <w:u w:val="single"/>
              </w:rPr>
              <w:t xml:space="preserve">Comma </w:t>
            </w:r>
            <w:r>
              <w:rPr>
                <w:b/>
                <w:i/>
                <w:sz w:val="20"/>
                <w:szCs w:val="20"/>
                <w:u w:val="single"/>
              </w:rPr>
              <w:t>2-</w:t>
            </w:r>
            <w:r w:rsidRPr="00E17B52">
              <w:rPr>
                <w:b/>
                <w:i/>
                <w:sz w:val="20"/>
                <w:szCs w:val="20"/>
              </w:rPr>
              <w:t xml:space="preserve"> </w:t>
            </w:r>
            <w:r>
              <w:rPr>
                <w:i/>
                <w:sz w:val="20"/>
                <w:szCs w:val="20"/>
              </w:rPr>
              <w:t xml:space="preserve">Se la violazione di cui al comma precedente riguarda meri </w:t>
            </w:r>
            <w:proofErr w:type="gramStart"/>
            <w:r>
              <w:rPr>
                <w:i/>
                <w:sz w:val="20"/>
                <w:szCs w:val="20"/>
              </w:rPr>
              <w:t>errori  od</w:t>
            </w:r>
            <w:proofErr w:type="gramEnd"/>
            <w:r>
              <w:rPr>
                <w:i/>
                <w:sz w:val="20"/>
                <w:szCs w:val="20"/>
              </w:rPr>
              <w:t xml:space="preserve"> omissioni formali.</w:t>
            </w:r>
          </w:p>
          <w:p w:rsidR="002C67F3" w:rsidRPr="00A66AE2" w:rsidRDefault="00A66AE2" w:rsidP="00CB6F80">
            <w:pPr>
              <w:jc w:val="both"/>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500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4.000</w:t>
            </w:r>
          </w:p>
        </w:tc>
      </w:tr>
      <w:tr w:rsidR="00A66AE2" w:rsidRPr="00A66AE2" w:rsidTr="00CB6F80">
        <w:tc>
          <w:tcPr>
            <w:tcW w:w="3231" w:type="dxa"/>
            <w:shd w:val="clear" w:color="auto" w:fill="auto"/>
          </w:tcPr>
          <w:p w:rsidR="00A66AE2" w:rsidRDefault="00A66AE2" w:rsidP="00CB6F80">
            <w:pPr>
              <w:shd w:val="clear" w:color="auto" w:fill="B4C6E7" w:themeFill="accent1" w:themeFillTint="66"/>
              <w:rPr>
                <w:b/>
                <w:sz w:val="24"/>
                <w:szCs w:val="24"/>
              </w:rPr>
            </w:pPr>
            <w:r w:rsidRPr="000D6A69">
              <w:rPr>
                <w:b/>
                <w:sz w:val="24"/>
                <w:szCs w:val="24"/>
              </w:rPr>
              <w:t xml:space="preserve">Articolo </w:t>
            </w:r>
            <w:r>
              <w:rPr>
                <w:b/>
                <w:sz w:val="24"/>
                <w:szCs w:val="24"/>
              </w:rPr>
              <w:t>1</w:t>
            </w:r>
            <w:r>
              <w:rPr>
                <w:b/>
                <w:sz w:val="24"/>
                <w:szCs w:val="24"/>
              </w:rPr>
              <w:t>4</w:t>
            </w:r>
          </w:p>
          <w:p w:rsidR="00A66AE2" w:rsidRDefault="00A66AE2" w:rsidP="00CB6F80">
            <w:pPr>
              <w:rPr>
                <w:b/>
                <w:sz w:val="24"/>
                <w:szCs w:val="24"/>
                <w:shd w:val="clear" w:color="auto" w:fill="F7CAAC" w:themeFill="accent2" w:themeFillTint="66"/>
              </w:rPr>
            </w:pPr>
          </w:p>
          <w:p w:rsidR="00A66AE2" w:rsidRDefault="00A66AE2" w:rsidP="00CB6F80">
            <w:pPr>
              <w:jc w:val="right"/>
              <w:rPr>
                <w:b/>
                <w:sz w:val="24"/>
                <w:szCs w:val="24"/>
              </w:rPr>
            </w:pPr>
          </w:p>
          <w:p w:rsidR="00A66AE2" w:rsidRPr="000D6A69" w:rsidRDefault="00A66AE2" w:rsidP="00F15FC7">
            <w:pPr>
              <w:rPr>
                <w:b/>
                <w:sz w:val="24"/>
                <w:szCs w:val="24"/>
              </w:rPr>
            </w:pPr>
          </w:p>
        </w:tc>
        <w:tc>
          <w:tcPr>
            <w:tcW w:w="6463" w:type="dxa"/>
          </w:tcPr>
          <w:p w:rsidR="00A66AE2" w:rsidRDefault="00A66AE2" w:rsidP="00CB6F80">
            <w:pPr>
              <w:jc w:val="both"/>
              <w:rPr>
                <w:b/>
              </w:rPr>
            </w:pPr>
            <w:r w:rsidRPr="002C67F3">
              <w:rPr>
                <w:b/>
                <w:highlight w:val="yellow"/>
              </w:rPr>
              <w:t xml:space="preserve">Violazioni in </w:t>
            </w:r>
            <w:r w:rsidRPr="00A66AE2">
              <w:rPr>
                <w:b/>
                <w:highlight w:val="yellow"/>
              </w:rPr>
              <w:t xml:space="preserve">materia di </w:t>
            </w:r>
            <w:r w:rsidRPr="00A66AE2">
              <w:rPr>
                <w:b/>
                <w:highlight w:val="yellow"/>
              </w:rPr>
              <w:t xml:space="preserve">titolo </w:t>
            </w:r>
            <w:proofErr w:type="spellStart"/>
            <w:r w:rsidRPr="00A66AE2">
              <w:rPr>
                <w:b/>
                <w:highlight w:val="yellow"/>
              </w:rPr>
              <w:t>alcolometrico</w:t>
            </w:r>
            <w:proofErr w:type="spellEnd"/>
          </w:p>
          <w:p w:rsidR="00A66AE2" w:rsidRDefault="00A66AE2" w:rsidP="00CB6F80">
            <w:pPr>
              <w:jc w:val="both"/>
              <w:rPr>
                <w:i/>
                <w:sz w:val="20"/>
                <w:szCs w:val="20"/>
              </w:rPr>
            </w:pPr>
            <w:r w:rsidRPr="000D6A69">
              <w:rPr>
                <w:b/>
                <w:i/>
                <w:sz w:val="20"/>
                <w:szCs w:val="20"/>
                <w:u w:val="single"/>
              </w:rPr>
              <w:t>Comma 1</w:t>
            </w:r>
            <w:r>
              <w:rPr>
                <w:i/>
                <w:sz w:val="20"/>
                <w:szCs w:val="20"/>
              </w:rPr>
              <w:t>- La violazione delle disposizioni di cui all’art.2</w:t>
            </w:r>
            <w:r>
              <w:rPr>
                <w:i/>
                <w:sz w:val="20"/>
                <w:szCs w:val="20"/>
              </w:rPr>
              <w:t>8</w:t>
            </w:r>
            <w:r>
              <w:rPr>
                <w:i/>
                <w:sz w:val="20"/>
                <w:szCs w:val="20"/>
              </w:rPr>
              <w:t xml:space="preserve"> del Regolamento e </w:t>
            </w:r>
            <w:r>
              <w:rPr>
                <w:i/>
                <w:sz w:val="20"/>
                <w:szCs w:val="20"/>
              </w:rPr>
              <w:t xml:space="preserve">del suo allegato XII in materia di indicazioni del titolo </w:t>
            </w:r>
            <w:proofErr w:type="spellStart"/>
            <w:r>
              <w:rPr>
                <w:i/>
                <w:sz w:val="20"/>
                <w:szCs w:val="20"/>
              </w:rPr>
              <w:t>alcolometrico</w:t>
            </w:r>
            <w:proofErr w:type="spellEnd"/>
            <w:r>
              <w:rPr>
                <w:i/>
                <w:sz w:val="20"/>
                <w:szCs w:val="20"/>
              </w:rPr>
              <w:t>.</w:t>
            </w:r>
          </w:p>
          <w:p w:rsidR="00A66AE2" w:rsidRPr="00A66AE2" w:rsidRDefault="00A66AE2" w:rsidP="00CB6F80">
            <w:pPr>
              <w:jc w:val="both"/>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500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4.000</w:t>
            </w:r>
          </w:p>
        </w:tc>
      </w:tr>
      <w:tr w:rsidR="00F15FC7" w:rsidRPr="00A66AE2" w:rsidTr="00CB6F80">
        <w:tc>
          <w:tcPr>
            <w:tcW w:w="3231" w:type="dxa"/>
            <w:shd w:val="clear" w:color="auto" w:fill="auto"/>
          </w:tcPr>
          <w:p w:rsidR="00F15FC7" w:rsidRDefault="00F15FC7" w:rsidP="00CB6F80">
            <w:pPr>
              <w:shd w:val="clear" w:color="auto" w:fill="B4C6E7" w:themeFill="accent1" w:themeFillTint="66"/>
              <w:rPr>
                <w:b/>
                <w:sz w:val="24"/>
                <w:szCs w:val="24"/>
              </w:rPr>
            </w:pPr>
            <w:r w:rsidRPr="000D6A69">
              <w:rPr>
                <w:b/>
                <w:sz w:val="24"/>
                <w:szCs w:val="24"/>
              </w:rPr>
              <w:t xml:space="preserve">Articolo </w:t>
            </w:r>
            <w:r>
              <w:rPr>
                <w:b/>
                <w:sz w:val="24"/>
                <w:szCs w:val="24"/>
              </w:rPr>
              <w:t>1</w:t>
            </w:r>
            <w:r>
              <w:rPr>
                <w:b/>
                <w:sz w:val="24"/>
                <w:szCs w:val="24"/>
              </w:rPr>
              <w:t>5</w:t>
            </w:r>
          </w:p>
          <w:p w:rsidR="00F15FC7" w:rsidRDefault="00F15FC7" w:rsidP="00CB6F80">
            <w:pPr>
              <w:rPr>
                <w:b/>
                <w:sz w:val="24"/>
                <w:szCs w:val="24"/>
                <w:shd w:val="clear" w:color="auto" w:fill="F7CAAC" w:themeFill="accent2" w:themeFillTint="66"/>
              </w:rPr>
            </w:pPr>
          </w:p>
          <w:p w:rsidR="00F15FC7" w:rsidRDefault="00F15FC7" w:rsidP="00CB6F80">
            <w:pPr>
              <w:jc w:val="right"/>
              <w:rPr>
                <w:b/>
                <w:sz w:val="24"/>
                <w:szCs w:val="24"/>
              </w:rPr>
            </w:pPr>
          </w:p>
          <w:p w:rsidR="00F15FC7" w:rsidRPr="000D6A69" w:rsidRDefault="00F15FC7" w:rsidP="00CB6F80">
            <w:pPr>
              <w:rPr>
                <w:b/>
                <w:sz w:val="24"/>
                <w:szCs w:val="24"/>
              </w:rPr>
            </w:pPr>
          </w:p>
        </w:tc>
        <w:tc>
          <w:tcPr>
            <w:tcW w:w="6463" w:type="dxa"/>
          </w:tcPr>
          <w:p w:rsidR="00F15FC7" w:rsidRDefault="00F15FC7" w:rsidP="00CB6F80">
            <w:pPr>
              <w:jc w:val="both"/>
              <w:rPr>
                <w:b/>
              </w:rPr>
            </w:pPr>
            <w:r w:rsidRPr="002C67F3">
              <w:rPr>
                <w:b/>
                <w:highlight w:val="yellow"/>
              </w:rPr>
              <w:t xml:space="preserve">Violazioni in </w:t>
            </w:r>
            <w:r w:rsidRPr="00A66AE2">
              <w:rPr>
                <w:b/>
                <w:highlight w:val="yellow"/>
              </w:rPr>
              <w:t xml:space="preserve">materia di </w:t>
            </w:r>
            <w:r w:rsidRPr="00F15FC7">
              <w:rPr>
                <w:b/>
                <w:highlight w:val="yellow"/>
              </w:rPr>
              <w:t>dichiarazioni nutrizionali</w:t>
            </w:r>
          </w:p>
          <w:p w:rsidR="00F15FC7" w:rsidRDefault="00F15FC7" w:rsidP="00F15FC7">
            <w:pPr>
              <w:jc w:val="both"/>
              <w:rPr>
                <w:i/>
                <w:sz w:val="20"/>
                <w:szCs w:val="20"/>
              </w:rPr>
            </w:pPr>
            <w:r w:rsidRPr="000D6A69">
              <w:rPr>
                <w:b/>
                <w:i/>
                <w:sz w:val="20"/>
                <w:szCs w:val="20"/>
                <w:u w:val="single"/>
              </w:rPr>
              <w:t>Comma 1</w:t>
            </w:r>
            <w:r>
              <w:rPr>
                <w:i/>
                <w:sz w:val="20"/>
                <w:szCs w:val="20"/>
              </w:rPr>
              <w:t xml:space="preserve">- La violazione delle disposizioni di cui </w:t>
            </w:r>
            <w:r>
              <w:rPr>
                <w:i/>
                <w:sz w:val="20"/>
                <w:szCs w:val="20"/>
              </w:rPr>
              <w:t>agli articoli da 30 a 35</w:t>
            </w:r>
            <w:r>
              <w:rPr>
                <w:i/>
                <w:sz w:val="20"/>
                <w:szCs w:val="20"/>
              </w:rPr>
              <w:t xml:space="preserve"> del Regolamento </w:t>
            </w:r>
            <w:r>
              <w:rPr>
                <w:i/>
                <w:sz w:val="20"/>
                <w:szCs w:val="20"/>
              </w:rPr>
              <w:t xml:space="preserve">relativi allegati ivi previsti in materia di modalità di indicazione, contenuto, espressione e presentazione dei valori nutrizionali. </w:t>
            </w:r>
            <w:r>
              <w:rPr>
                <w:i/>
                <w:sz w:val="20"/>
                <w:szCs w:val="20"/>
              </w:rPr>
              <w:t xml:space="preserve"> </w:t>
            </w:r>
          </w:p>
          <w:p w:rsidR="00F15FC7" w:rsidRPr="00A66AE2" w:rsidRDefault="00F15FC7" w:rsidP="00F15FC7">
            <w:pPr>
              <w:jc w:val="both"/>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2.0</w:t>
            </w:r>
            <w:r>
              <w:rPr>
                <w:b/>
                <w:sz w:val="24"/>
                <w:szCs w:val="24"/>
                <w:shd w:val="clear" w:color="auto" w:fill="F7CAAC" w:themeFill="accent2" w:themeFillTint="66"/>
              </w:rPr>
              <w:t>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16</w:t>
            </w:r>
            <w:r>
              <w:rPr>
                <w:b/>
                <w:sz w:val="24"/>
                <w:szCs w:val="24"/>
                <w:shd w:val="clear" w:color="auto" w:fill="F7CAAC" w:themeFill="accent2" w:themeFillTint="66"/>
              </w:rPr>
              <w:t>.000</w:t>
            </w:r>
          </w:p>
        </w:tc>
      </w:tr>
      <w:tr w:rsidR="00F15FC7" w:rsidRPr="00A66AE2" w:rsidTr="00CB6F80">
        <w:tc>
          <w:tcPr>
            <w:tcW w:w="3231" w:type="dxa"/>
            <w:shd w:val="clear" w:color="auto" w:fill="auto"/>
          </w:tcPr>
          <w:p w:rsidR="00F15FC7" w:rsidRDefault="00F15FC7" w:rsidP="00CB6F80">
            <w:pPr>
              <w:shd w:val="clear" w:color="auto" w:fill="B4C6E7" w:themeFill="accent1" w:themeFillTint="66"/>
              <w:rPr>
                <w:b/>
                <w:sz w:val="24"/>
                <w:szCs w:val="24"/>
              </w:rPr>
            </w:pPr>
            <w:r w:rsidRPr="000D6A69">
              <w:rPr>
                <w:b/>
                <w:sz w:val="24"/>
                <w:szCs w:val="24"/>
              </w:rPr>
              <w:t xml:space="preserve">Articolo </w:t>
            </w:r>
            <w:r>
              <w:rPr>
                <w:b/>
                <w:sz w:val="24"/>
                <w:szCs w:val="24"/>
              </w:rPr>
              <w:t>1</w:t>
            </w:r>
            <w:r>
              <w:rPr>
                <w:b/>
                <w:sz w:val="24"/>
                <w:szCs w:val="24"/>
              </w:rPr>
              <w:t>6</w:t>
            </w:r>
          </w:p>
          <w:p w:rsidR="00F15FC7" w:rsidRDefault="00F15FC7" w:rsidP="00CB6F80">
            <w:pPr>
              <w:rPr>
                <w:b/>
                <w:sz w:val="24"/>
                <w:szCs w:val="24"/>
                <w:shd w:val="clear" w:color="auto" w:fill="F7CAAC" w:themeFill="accent2" w:themeFillTint="66"/>
              </w:rPr>
            </w:pPr>
          </w:p>
          <w:p w:rsidR="00F15FC7" w:rsidRDefault="00F15FC7" w:rsidP="00CB6F80">
            <w:pPr>
              <w:jc w:val="right"/>
              <w:rPr>
                <w:b/>
                <w:sz w:val="24"/>
                <w:szCs w:val="24"/>
              </w:rPr>
            </w:pPr>
          </w:p>
          <w:p w:rsidR="00F15FC7" w:rsidRDefault="00F15FC7" w:rsidP="00CB6F80">
            <w:pPr>
              <w:jc w:val="right"/>
              <w:rPr>
                <w:b/>
                <w:sz w:val="24"/>
                <w:szCs w:val="24"/>
              </w:rPr>
            </w:pPr>
          </w:p>
          <w:p w:rsidR="00F15FC7" w:rsidRPr="000D6A69" w:rsidRDefault="00F15FC7" w:rsidP="00CB6F80">
            <w:pPr>
              <w:jc w:val="right"/>
              <w:rPr>
                <w:b/>
                <w:sz w:val="24"/>
                <w:szCs w:val="24"/>
              </w:rPr>
            </w:pPr>
          </w:p>
        </w:tc>
        <w:tc>
          <w:tcPr>
            <w:tcW w:w="6463" w:type="dxa"/>
          </w:tcPr>
          <w:p w:rsidR="00F15FC7" w:rsidRDefault="00F15FC7" w:rsidP="00CB6F80">
            <w:pPr>
              <w:jc w:val="both"/>
              <w:rPr>
                <w:b/>
              </w:rPr>
            </w:pPr>
            <w:r w:rsidRPr="002C67F3">
              <w:rPr>
                <w:b/>
                <w:highlight w:val="yellow"/>
              </w:rPr>
              <w:t xml:space="preserve">Violazioni in materia </w:t>
            </w:r>
            <w:r w:rsidRPr="00F15FC7">
              <w:rPr>
                <w:b/>
                <w:highlight w:val="yellow"/>
              </w:rPr>
              <w:t xml:space="preserve">di </w:t>
            </w:r>
            <w:r w:rsidRPr="00F15FC7">
              <w:rPr>
                <w:b/>
                <w:highlight w:val="yellow"/>
              </w:rPr>
              <w:t>informazioni volontarie di cui all’articolo 36 del Regolamento</w:t>
            </w:r>
          </w:p>
          <w:p w:rsidR="00F15FC7" w:rsidRDefault="00F15FC7" w:rsidP="00CB6F80">
            <w:pPr>
              <w:jc w:val="both"/>
              <w:rPr>
                <w:i/>
                <w:sz w:val="20"/>
                <w:szCs w:val="20"/>
              </w:rPr>
            </w:pPr>
            <w:r w:rsidRPr="000D6A69">
              <w:rPr>
                <w:b/>
                <w:i/>
                <w:sz w:val="20"/>
                <w:szCs w:val="20"/>
                <w:u w:val="single"/>
              </w:rPr>
              <w:t>Comma 1</w:t>
            </w:r>
            <w:r>
              <w:rPr>
                <w:i/>
                <w:sz w:val="20"/>
                <w:szCs w:val="20"/>
              </w:rPr>
              <w:t xml:space="preserve">- </w:t>
            </w:r>
            <w:r>
              <w:rPr>
                <w:i/>
                <w:sz w:val="20"/>
                <w:szCs w:val="20"/>
              </w:rPr>
              <w:t>Al soggetto responsabile che fornisce volontariamente informazioni sugli alimenti non rispondenti ai requisiti previsti dal paragrafo 1 del Regolamento sono applicabili le sanzioni previste dagli articoli da 5 a 15 del Decreto, in relazione alle rispettive violazioni.</w:t>
            </w:r>
          </w:p>
          <w:p w:rsidR="00F15FC7" w:rsidRDefault="00F15FC7" w:rsidP="00CB6F80">
            <w:pPr>
              <w:jc w:val="both"/>
              <w:rPr>
                <w:i/>
                <w:sz w:val="20"/>
                <w:szCs w:val="20"/>
              </w:rPr>
            </w:pPr>
            <w:r w:rsidRPr="000D6A69">
              <w:rPr>
                <w:b/>
                <w:i/>
                <w:sz w:val="20"/>
                <w:szCs w:val="20"/>
                <w:u w:val="single"/>
              </w:rPr>
              <w:t xml:space="preserve">Comma </w:t>
            </w:r>
            <w:r>
              <w:rPr>
                <w:b/>
                <w:i/>
                <w:sz w:val="20"/>
                <w:szCs w:val="20"/>
                <w:u w:val="single"/>
              </w:rPr>
              <w:t>2-</w:t>
            </w:r>
            <w:r w:rsidRPr="00E17B52">
              <w:rPr>
                <w:b/>
                <w:i/>
                <w:sz w:val="20"/>
                <w:szCs w:val="20"/>
              </w:rPr>
              <w:t xml:space="preserve"> </w:t>
            </w:r>
            <w:r>
              <w:rPr>
                <w:i/>
                <w:sz w:val="20"/>
                <w:szCs w:val="20"/>
              </w:rPr>
              <w:t xml:space="preserve">Se </w:t>
            </w:r>
            <w:r>
              <w:rPr>
                <w:i/>
                <w:sz w:val="20"/>
                <w:szCs w:val="20"/>
              </w:rPr>
              <w:t>la fornitura di queste informazioni è effettuata in violazione del paragrafo 2 dell’art.36 del Regolamento e cio</w:t>
            </w:r>
            <w:r w:rsidR="00392E7F">
              <w:rPr>
                <w:i/>
                <w:sz w:val="20"/>
                <w:szCs w:val="20"/>
              </w:rPr>
              <w:t>è inducano in errore il consumatore, siano ambigue o confuse ovvero non basate su dati scientifici pertinenti</w:t>
            </w:r>
            <w:r>
              <w:rPr>
                <w:i/>
                <w:sz w:val="20"/>
                <w:szCs w:val="20"/>
              </w:rPr>
              <w:t>.</w:t>
            </w:r>
          </w:p>
          <w:p w:rsidR="00F15FC7" w:rsidRPr="00A66AE2" w:rsidRDefault="00F15FC7" w:rsidP="00CB6F80">
            <w:pPr>
              <w:jc w:val="both"/>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sidR="00392E7F">
              <w:rPr>
                <w:b/>
                <w:sz w:val="24"/>
                <w:szCs w:val="24"/>
                <w:shd w:val="clear" w:color="auto" w:fill="F7CAAC" w:themeFill="accent2" w:themeFillTint="66"/>
              </w:rPr>
              <w:t>3.0</w:t>
            </w:r>
            <w:r>
              <w:rPr>
                <w:b/>
                <w:sz w:val="24"/>
                <w:szCs w:val="24"/>
                <w:shd w:val="clear" w:color="auto" w:fill="F7CAAC" w:themeFill="accent2" w:themeFillTint="66"/>
              </w:rPr>
              <w:t>00</w:t>
            </w:r>
            <w:r w:rsidRPr="000D6A69">
              <w:rPr>
                <w:b/>
                <w:sz w:val="24"/>
                <w:szCs w:val="24"/>
                <w:shd w:val="clear" w:color="auto" w:fill="F7CAAC" w:themeFill="accent2" w:themeFillTint="66"/>
              </w:rPr>
              <w:t xml:space="preserve"> a € </w:t>
            </w:r>
            <w:r w:rsidR="00392E7F">
              <w:rPr>
                <w:b/>
                <w:sz w:val="24"/>
                <w:szCs w:val="24"/>
                <w:shd w:val="clear" w:color="auto" w:fill="F7CAAC" w:themeFill="accent2" w:themeFillTint="66"/>
              </w:rPr>
              <w:t>2</w:t>
            </w:r>
            <w:r>
              <w:rPr>
                <w:b/>
                <w:sz w:val="24"/>
                <w:szCs w:val="24"/>
                <w:shd w:val="clear" w:color="auto" w:fill="F7CAAC" w:themeFill="accent2" w:themeFillTint="66"/>
              </w:rPr>
              <w:t>4.000</w:t>
            </w:r>
            <w:r w:rsidR="00392E7F">
              <w:rPr>
                <w:b/>
                <w:sz w:val="24"/>
                <w:szCs w:val="24"/>
                <w:shd w:val="clear" w:color="auto" w:fill="F7CAAC" w:themeFill="accent2" w:themeFillTint="66"/>
              </w:rPr>
              <w:t>(*)</w:t>
            </w:r>
          </w:p>
        </w:tc>
      </w:tr>
      <w:tr w:rsidR="000C7B32" w:rsidRPr="00A66AE2" w:rsidTr="000C7B32">
        <w:tc>
          <w:tcPr>
            <w:tcW w:w="9694" w:type="dxa"/>
            <w:gridSpan w:val="2"/>
            <w:shd w:val="clear" w:color="auto" w:fill="002060"/>
          </w:tcPr>
          <w:p w:rsidR="000C7B32" w:rsidRPr="002C67F3" w:rsidRDefault="000C7B32" w:rsidP="000C7B32">
            <w:pPr>
              <w:jc w:val="center"/>
              <w:rPr>
                <w:b/>
                <w:highlight w:val="yellow"/>
              </w:rPr>
            </w:pPr>
            <w:r w:rsidRPr="000C7B32">
              <w:rPr>
                <w:b/>
              </w:rPr>
              <w:t>VIOLAZIONE DELLE DISPOSIZIONI NAZIONALI</w:t>
            </w:r>
          </w:p>
        </w:tc>
      </w:tr>
      <w:tr w:rsidR="002822B6" w:rsidRPr="00034A7E" w:rsidTr="002822B6">
        <w:tc>
          <w:tcPr>
            <w:tcW w:w="3231" w:type="dxa"/>
            <w:shd w:val="clear" w:color="auto" w:fill="auto"/>
          </w:tcPr>
          <w:p w:rsidR="002822B6" w:rsidRDefault="002822B6" w:rsidP="002822B6">
            <w:pPr>
              <w:shd w:val="clear" w:color="auto" w:fill="C5E0B3" w:themeFill="accent6" w:themeFillTint="66"/>
              <w:rPr>
                <w:b/>
                <w:sz w:val="24"/>
                <w:szCs w:val="24"/>
              </w:rPr>
            </w:pPr>
            <w:r w:rsidRPr="002822B6">
              <w:rPr>
                <w:b/>
                <w:sz w:val="24"/>
                <w:szCs w:val="24"/>
              </w:rPr>
              <w:t>Articolo 21</w:t>
            </w:r>
          </w:p>
          <w:p w:rsidR="002822B6" w:rsidRDefault="002822B6" w:rsidP="00CB6F80">
            <w:pPr>
              <w:rPr>
                <w:b/>
                <w:sz w:val="24"/>
                <w:szCs w:val="24"/>
              </w:rPr>
            </w:pPr>
          </w:p>
          <w:p w:rsidR="002822B6" w:rsidRDefault="002822B6" w:rsidP="00CB6F80">
            <w:pPr>
              <w:rPr>
                <w:b/>
                <w:sz w:val="24"/>
                <w:szCs w:val="24"/>
              </w:rPr>
            </w:pPr>
            <w:r w:rsidRPr="002822B6">
              <w:rPr>
                <w:b/>
                <w:sz w:val="24"/>
                <w:szCs w:val="24"/>
              </w:rPr>
              <w:t xml:space="preserve"> </w:t>
            </w:r>
          </w:p>
          <w:p w:rsidR="002822B6" w:rsidRPr="002822B6" w:rsidRDefault="002822B6" w:rsidP="00CB6F80">
            <w:pPr>
              <w:rPr>
                <w:b/>
                <w:sz w:val="24"/>
                <w:szCs w:val="24"/>
              </w:rPr>
            </w:pPr>
          </w:p>
        </w:tc>
        <w:tc>
          <w:tcPr>
            <w:tcW w:w="6463" w:type="dxa"/>
          </w:tcPr>
          <w:p w:rsidR="002822B6" w:rsidRDefault="002822B6" w:rsidP="002822B6">
            <w:pPr>
              <w:jc w:val="both"/>
              <w:rPr>
                <w:b/>
              </w:rPr>
            </w:pPr>
            <w:r w:rsidRPr="002822B6">
              <w:rPr>
                <w:b/>
                <w:highlight w:val="cyan"/>
              </w:rPr>
              <w:t xml:space="preserve">Violazioni in materia di </w:t>
            </w:r>
            <w:r w:rsidRPr="002822B6">
              <w:rPr>
                <w:b/>
                <w:highlight w:val="cyan"/>
              </w:rPr>
              <w:t>diciture e marche che consentono di identificare la partita alla quale appartiene una derrata alimentare (art.17 del Decreto)</w:t>
            </w:r>
          </w:p>
          <w:p w:rsidR="002822B6" w:rsidRDefault="002822B6" w:rsidP="002822B6">
            <w:pPr>
              <w:jc w:val="both"/>
              <w:rPr>
                <w:i/>
                <w:sz w:val="20"/>
                <w:szCs w:val="20"/>
              </w:rPr>
            </w:pPr>
            <w:r w:rsidRPr="000D6A69">
              <w:rPr>
                <w:b/>
                <w:i/>
                <w:sz w:val="20"/>
                <w:szCs w:val="20"/>
                <w:u w:val="single"/>
              </w:rPr>
              <w:t>Comma 1</w:t>
            </w:r>
            <w:r>
              <w:rPr>
                <w:i/>
                <w:sz w:val="20"/>
                <w:szCs w:val="20"/>
              </w:rPr>
              <w:t xml:space="preserve">- </w:t>
            </w:r>
            <w:r>
              <w:rPr>
                <w:i/>
                <w:sz w:val="20"/>
                <w:szCs w:val="20"/>
              </w:rPr>
              <w:t>Omissione dell’indicazione del lotto o partita.</w:t>
            </w:r>
          </w:p>
          <w:p w:rsidR="002822B6" w:rsidRDefault="002822B6" w:rsidP="002822B6">
            <w:pPr>
              <w:jc w:val="both"/>
              <w:rPr>
                <w:i/>
                <w:sz w:val="20"/>
                <w:szCs w:val="20"/>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3</w:t>
            </w:r>
            <w:r>
              <w:rPr>
                <w:b/>
                <w:sz w:val="24"/>
                <w:szCs w:val="24"/>
                <w:shd w:val="clear" w:color="auto" w:fill="F7CAAC" w:themeFill="accent2" w:themeFillTint="66"/>
              </w:rPr>
              <w:t>.000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24</w:t>
            </w:r>
            <w:r>
              <w:rPr>
                <w:b/>
                <w:sz w:val="24"/>
                <w:szCs w:val="24"/>
                <w:shd w:val="clear" w:color="auto" w:fill="F7CAAC" w:themeFill="accent2" w:themeFillTint="66"/>
              </w:rPr>
              <w:t>.000</w:t>
            </w:r>
          </w:p>
          <w:p w:rsidR="002822B6" w:rsidRDefault="002822B6" w:rsidP="002822B6">
            <w:pPr>
              <w:jc w:val="both"/>
              <w:rPr>
                <w:i/>
                <w:sz w:val="20"/>
                <w:szCs w:val="20"/>
              </w:rPr>
            </w:pPr>
            <w:r w:rsidRPr="000D6A69">
              <w:rPr>
                <w:b/>
                <w:i/>
                <w:sz w:val="20"/>
                <w:szCs w:val="20"/>
                <w:u w:val="single"/>
              </w:rPr>
              <w:t xml:space="preserve">Comma </w:t>
            </w:r>
            <w:r>
              <w:rPr>
                <w:b/>
                <w:i/>
                <w:sz w:val="20"/>
                <w:szCs w:val="20"/>
                <w:u w:val="single"/>
              </w:rPr>
              <w:t>2</w:t>
            </w:r>
            <w:r>
              <w:rPr>
                <w:i/>
                <w:sz w:val="20"/>
                <w:szCs w:val="20"/>
              </w:rPr>
              <w:t xml:space="preserve">- </w:t>
            </w:r>
            <w:r>
              <w:rPr>
                <w:i/>
                <w:sz w:val="20"/>
                <w:szCs w:val="20"/>
              </w:rPr>
              <w:t xml:space="preserve">Indicazione </w:t>
            </w:r>
            <w:r>
              <w:rPr>
                <w:i/>
                <w:sz w:val="20"/>
                <w:szCs w:val="20"/>
              </w:rPr>
              <w:t>del lotto o partita</w:t>
            </w:r>
            <w:r>
              <w:rPr>
                <w:i/>
                <w:sz w:val="20"/>
                <w:szCs w:val="20"/>
              </w:rPr>
              <w:t xml:space="preserve"> con modalità differenti da quelle previste dall’articolo 17.</w:t>
            </w:r>
          </w:p>
          <w:p w:rsidR="002822B6" w:rsidRPr="002822B6" w:rsidRDefault="002822B6" w:rsidP="002822B6">
            <w:pPr>
              <w:jc w:val="both"/>
              <w:rPr>
                <w:i/>
                <w:sz w:val="20"/>
                <w:szCs w:val="20"/>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1</w:t>
            </w:r>
            <w:r>
              <w:rPr>
                <w:b/>
                <w:sz w:val="24"/>
                <w:szCs w:val="24"/>
                <w:shd w:val="clear" w:color="auto" w:fill="F7CAAC" w:themeFill="accent2" w:themeFillTint="66"/>
              </w:rPr>
              <w:t>.000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8</w:t>
            </w:r>
            <w:r>
              <w:rPr>
                <w:b/>
                <w:sz w:val="24"/>
                <w:szCs w:val="24"/>
                <w:shd w:val="clear" w:color="auto" w:fill="F7CAAC" w:themeFill="accent2" w:themeFillTint="66"/>
              </w:rPr>
              <w:t>.000</w:t>
            </w:r>
          </w:p>
        </w:tc>
      </w:tr>
      <w:tr w:rsidR="002822B6" w:rsidRPr="002822B6" w:rsidTr="00CB6F80">
        <w:tc>
          <w:tcPr>
            <w:tcW w:w="3231" w:type="dxa"/>
            <w:shd w:val="clear" w:color="auto" w:fill="auto"/>
          </w:tcPr>
          <w:p w:rsidR="002822B6" w:rsidRDefault="002822B6" w:rsidP="00CB6F80">
            <w:pPr>
              <w:shd w:val="clear" w:color="auto" w:fill="C5E0B3" w:themeFill="accent6" w:themeFillTint="66"/>
              <w:rPr>
                <w:b/>
                <w:sz w:val="24"/>
                <w:szCs w:val="24"/>
              </w:rPr>
            </w:pPr>
            <w:r w:rsidRPr="002822B6">
              <w:rPr>
                <w:b/>
                <w:sz w:val="24"/>
                <w:szCs w:val="24"/>
              </w:rPr>
              <w:t>Articolo 2</w:t>
            </w:r>
            <w:r>
              <w:rPr>
                <w:b/>
                <w:sz w:val="24"/>
                <w:szCs w:val="24"/>
              </w:rPr>
              <w:t>3</w:t>
            </w:r>
          </w:p>
          <w:p w:rsidR="002822B6" w:rsidRDefault="002822B6" w:rsidP="00CB6F80">
            <w:pPr>
              <w:rPr>
                <w:b/>
                <w:sz w:val="24"/>
                <w:szCs w:val="24"/>
              </w:rPr>
            </w:pPr>
          </w:p>
          <w:p w:rsidR="002822B6" w:rsidRDefault="002822B6" w:rsidP="00CB6F80">
            <w:pPr>
              <w:rPr>
                <w:b/>
                <w:sz w:val="24"/>
                <w:szCs w:val="24"/>
              </w:rPr>
            </w:pPr>
            <w:r w:rsidRPr="002822B6">
              <w:rPr>
                <w:b/>
                <w:sz w:val="24"/>
                <w:szCs w:val="24"/>
              </w:rPr>
              <w:t xml:space="preserve"> </w:t>
            </w:r>
          </w:p>
          <w:p w:rsidR="002822B6" w:rsidRPr="002822B6" w:rsidRDefault="002822B6" w:rsidP="00CB6F80">
            <w:pPr>
              <w:rPr>
                <w:b/>
                <w:sz w:val="24"/>
                <w:szCs w:val="24"/>
              </w:rPr>
            </w:pPr>
          </w:p>
        </w:tc>
        <w:tc>
          <w:tcPr>
            <w:tcW w:w="6463" w:type="dxa"/>
          </w:tcPr>
          <w:p w:rsidR="002822B6" w:rsidRDefault="002822B6" w:rsidP="00CB6F80">
            <w:pPr>
              <w:jc w:val="both"/>
              <w:rPr>
                <w:b/>
              </w:rPr>
            </w:pPr>
            <w:r w:rsidRPr="002822B6">
              <w:rPr>
                <w:b/>
                <w:highlight w:val="cyan"/>
              </w:rPr>
              <w:t xml:space="preserve">Violazioni in materia di </w:t>
            </w:r>
            <w:r>
              <w:rPr>
                <w:b/>
                <w:highlight w:val="cyan"/>
              </w:rPr>
              <w:t xml:space="preserve">indicazioni obbligatorie per la vendita di prodotti non </w:t>
            </w:r>
            <w:proofErr w:type="spellStart"/>
            <w:r>
              <w:rPr>
                <w:b/>
                <w:highlight w:val="cyan"/>
              </w:rPr>
              <w:t>preimballati</w:t>
            </w:r>
            <w:proofErr w:type="spellEnd"/>
            <w:r w:rsidRPr="002822B6">
              <w:rPr>
                <w:b/>
                <w:highlight w:val="cyan"/>
              </w:rPr>
              <w:t xml:space="preserve"> (art.1</w:t>
            </w:r>
            <w:r w:rsidR="00265C68">
              <w:rPr>
                <w:b/>
                <w:highlight w:val="cyan"/>
              </w:rPr>
              <w:t>9</w:t>
            </w:r>
            <w:r w:rsidRPr="002822B6">
              <w:rPr>
                <w:b/>
                <w:highlight w:val="cyan"/>
              </w:rPr>
              <w:t xml:space="preserve"> del Decreto)</w:t>
            </w:r>
          </w:p>
          <w:p w:rsidR="002822B6" w:rsidRDefault="002822B6" w:rsidP="00CB6F80">
            <w:pPr>
              <w:jc w:val="both"/>
              <w:rPr>
                <w:i/>
                <w:sz w:val="20"/>
                <w:szCs w:val="20"/>
              </w:rPr>
            </w:pPr>
            <w:r w:rsidRPr="000D6A69">
              <w:rPr>
                <w:b/>
                <w:i/>
                <w:sz w:val="20"/>
                <w:szCs w:val="20"/>
                <w:u w:val="single"/>
              </w:rPr>
              <w:t>Comma 1</w:t>
            </w:r>
            <w:r>
              <w:rPr>
                <w:i/>
                <w:sz w:val="20"/>
                <w:szCs w:val="20"/>
              </w:rPr>
              <w:t xml:space="preserve">- </w:t>
            </w:r>
            <w:r w:rsidR="00265C68">
              <w:rPr>
                <w:i/>
                <w:sz w:val="20"/>
                <w:szCs w:val="20"/>
              </w:rPr>
              <w:t xml:space="preserve">Violazione delle disposizioni previste per la vendita dei prodotti non </w:t>
            </w:r>
            <w:proofErr w:type="spellStart"/>
            <w:r w:rsidR="00265C68">
              <w:rPr>
                <w:i/>
                <w:sz w:val="20"/>
                <w:szCs w:val="20"/>
              </w:rPr>
              <w:t>preimballati</w:t>
            </w:r>
            <w:proofErr w:type="spellEnd"/>
            <w:r w:rsidR="00265C68">
              <w:rPr>
                <w:i/>
                <w:sz w:val="20"/>
                <w:szCs w:val="20"/>
              </w:rPr>
              <w:t xml:space="preserve"> così come previsto dalle modalità di cui all’articolo 19.</w:t>
            </w:r>
          </w:p>
          <w:p w:rsidR="00265C68" w:rsidRDefault="00265C68" w:rsidP="00CB6F80">
            <w:pPr>
              <w:jc w:val="both"/>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1.000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8.000</w:t>
            </w:r>
          </w:p>
          <w:p w:rsidR="002822B6" w:rsidRDefault="002822B6" w:rsidP="00CB6F80">
            <w:pPr>
              <w:jc w:val="both"/>
              <w:rPr>
                <w:i/>
                <w:sz w:val="20"/>
                <w:szCs w:val="20"/>
              </w:rPr>
            </w:pPr>
            <w:r w:rsidRPr="000D6A69">
              <w:rPr>
                <w:b/>
                <w:i/>
                <w:sz w:val="20"/>
                <w:szCs w:val="20"/>
                <w:u w:val="single"/>
              </w:rPr>
              <w:t xml:space="preserve">Comma </w:t>
            </w:r>
            <w:r>
              <w:rPr>
                <w:b/>
                <w:i/>
                <w:sz w:val="20"/>
                <w:szCs w:val="20"/>
                <w:u w:val="single"/>
              </w:rPr>
              <w:t>2</w:t>
            </w:r>
            <w:r>
              <w:rPr>
                <w:i/>
                <w:sz w:val="20"/>
                <w:szCs w:val="20"/>
              </w:rPr>
              <w:t xml:space="preserve">- </w:t>
            </w:r>
            <w:r w:rsidR="00265C68">
              <w:rPr>
                <w:i/>
                <w:sz w:val="20"/>
                <w:szCs w:val="20"/>
              </w:rPr>
              <w:t>Per la mancata indicazione delle sostanze che possono provocare allergie o intolleranze (allergeni).</w:t>
            </w:r>
          </w:p>
          <w:p w:rsidR="00265C68" w:rsidRDefault="00265C68" w:rsidP="00265C68">
            <w:pPr>
              <w:jc w:val="both"/>
              <w:rPr>
                <w:i/>
                <w:sz w:val="20"/>
                <w:szCs w:val="20"/>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3.000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24.000</w:t>
            </w:r>
            <w:r>
              <w:rPr>
                <w:b/>
                <w:sz w:val="24"/>
                <w:szCs w:val="24"/>
                <w:shd w:val="clear" w:color="auto" w:fill="F7CAAC" w:themeFill="accent2" w:themeFillTint="66"/>
              </w:rPr>
              <w:t>(*)</w:t>
            </w:r>
          </w:p>
          <w:p w:rsidR="00265C68" w:rsidRDefault="00265C68" w:rsidP="00265C68">
            <w:pPr>
              <w:jc w:val="both"/>
              <w:rPr>
                <w:i/>
                <w:sz w:val="20"/>
                <w:szCs w:val="20"/>
              </w:rPr>
            </w:pPr>
            <w:r w:rsidRPr="000D6A69">
              <w:rPr>
                <w:b/>
                <w:i/>
                <w:sz w:val="20"/>
                <w:szCs w:val="20"/>
                <w:u w:val="single"/>
              </w:rPr>
              <w:t xml:space="preserve">Comma </w:t>
            </w:r>
            <w:r>
              <w:rPr>
                <w:b/>
                <w:i/>
                <w:sz w:val="20"/>
                <w:szCs w:val="20"/>
                <w:u w:val="single"/>
              </w:rPr>
              <w:t>3</w:t>
            </w:r>
            <w:r>
              <w:rPr>
                <w:i/>
                <w:sz w:val="20"/>
                <w:szCs w:val="20"/>
              </w:rPr>
              <w:t xml:space="preserve">- </w:t>
            </w:r>
            <w:r>
              <w:rPr>
                <w:i/>
                <w:sz w:val="20"/>
                <w:szCs w:val="20"/>
              </w:rPr>
              <w:t>Se l’indicazione di cui al comma 2 è resa con modalità differenti dalle disposizioni previste.</w:t>
            </w:r>
          </w:p>
          <w:p w:rsidR="00265C68" w:rsidRDefault="00265C68" w:rsidP="00265C68">
            <w:pPr>
              <w:jc w:val="both"/>
              <w:rPr>
                <w:b/>
                <w:i/>
                <w:sz w:val="20"/>
                <w:szCs w:val="20"/>
                <w:u w:val="single"/>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1.000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8.000</w:t>
            </w:r>
            <w:r w:rsidRPr="000D6A69">
              <w:rPr>
                <w:b/>
                <w:i/>
                <w:sz w:val="20"/>
                <w:szCs w:val="20"/>
                <w:u w:val="single"/>
              </w:rPr>
              <w:t xml:space="preserve"> </w:t>
            </w:r>
          </w:p>
          <w:p w:rsidR="00265C68" w:rsidRDefault="00265C68" w:rsidP="00265C68">
            <w:pPr>
              <w:jc w:val="both"/>
              <w:rPr>
                <w:i/>
                <w:sz w:val="20"/>
                <w:szCs w:val="20"/>
              </w:rPr>
            </w:pPr>
            <w:r>
              <w:rPr>
                <w:i/>
                <w:sz w:val="20"/>
                <w:szCs w:val="20"/>
              </w:rPr>
              <w:lastRenderedPageBreak/>
              <w:t xml:space="preserve">Se </w:t>
            </w:r>
            <w:r>
              <w:rPr>
                <w:i/>
                <w:sz w:val="20"/>
                <w:szCs w:val="20"/>
              </w:rPr>
              <w:t>la violazione di cui al comma 3 riguarda meramente aspetti formali.</w:t>
            </w:r>
            <w:r>
              <w:rPr>
                <w:i/>
                <w:sz w:val="20"/>
                <w:szCs w:val="20"/>
              </w:rPr>
              <w:t xml:space="preserve"> </w:t>
            </w:r>
          </w:p>
          <w:p w:rsidR="002822B6" w:rsidRDefault="00265C68" w:rsidP="00265C68">
            <w:pPr>
              <w:jc w:val="both"/>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1.000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8.000</w:t>
            </w:r>
          </w:p>
          <w:p w:rsidR="00825B2F" w:rsidRDefault="00825B2F" w:rsidP="00825B2F">
            <w:pPr>
              <w:jc w:val="both"/>
              <w:rPr>
                <w:i/>
                <w:sz w:val="20"/>
                <w:szCs w:val="20"/>
              </w:rPr>
            </w:pPr>
            <w:r w:rsidRPr="000D6A69">
              <w:rPr>
                <w:b/>
                <w:i/>
                <w:sz w:val="20"/>
                <w:szCs w:val="20"/>
                <w:u w:val="single"/>
              </w:rPr>
              <w:t xml:space="preserve">Comma </w:t>
            </w:r>
            <w:r>
              <w:rPr>
                <w:b/>
                <w:i/>
                <w:sz w:val="20"/>
                <w:szCs w:val="20"/>
                <w:u w:val="single"/>
              </w:rPr>
              <w:t>4</w:t>
            </w:r>
            <w:r>
              <w:rPr>
                <w:i/>
                <w:sz w:val="20"/>
                <w:szCs w:val="20"/>
              </w:rPr>
              <w:t xml:space="preserve">- La </w:t>
            </w:r>
            <w:r>
              <w:rPr>
                <w:i/>
                <w:sz w:val="20"/>
                <w:szCs w:val="20"/>
              </w:rPr>
              <w:t>omissione, nelle fasi precedenti la vendita al consumatore, delle indicazioni obbligatorie di cui all’articolo 19 comma 7 del Decreto.</w:t>
            </w:r>
          </w:p>
          <w:p w:rsidR="00825B2F" w:rsidRPr="00825B2F" w:rsidRDefault="00825B2F" w:rsidP="00825B2F">
            <w:pPr>
              <w:jc w:val="both"/>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500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4.</w:t>
            </w:r>
            <w:r>
              <w:rPr>
                <w:b/>
                <w:sz w:val="24"/>
                <w:szCs w:val="24"/>
                <w:shd w:val="clear" w:color="auto" w:fill="F7CAAC" w:themeFill="accent2" w:themeFillTint="66"/>
              </w:rPr>
              <w:t>000</w:t>
            </w:r>
          </w:p>
        </w:tc>
      </w:tr>
      <w:tr w:rsidR="00825B2F" w:rsidRPr="002822B6" w:rsidTr="00CB6F80">
        <w:tc>
          <w:tcPr>
            <w:tcW w:w="3231" w:type="dxa"/>
            <w:shd w:val="clear" w:color="auto" w:fill="auto"/>
          </w:tcPr>
          <w:p w:rsidR="00825B2F" w:rsidRDefault="00825B2F" w:rsidP="00CB6F80">
            <w:pPr>
              <w:shd w:val="clear" w:color="auto" w:fill="C5E0B3" w:themeFill="accent6" w:themeFillTint="66"/>
              <w:rPr>
                <w:b/>
                <w:sz w:val="24"/>
                <w:szCs w:val="24"/>
              </w:rPr>
            </w:pPr>
            <w:r w:rsidRPr="002822B6">
              <w:rPr>
                <w:b/>
                <w:sz w:val="24"/>
                <w:szCs w:val="24"/>
              </w:rPr>
              <w:lastRenderedPageBreak/>
              <w:t>Articolo 2</w:t>
            </w:r>
            <w:r>
              <w:rPr>
                <w:b/>
                <w:sz w:val="24"/>
                <w:szCs w:val="24"/>
              </w:rPr>
              <w:t>4</w:t>
            </w:r>
          </w:p>
          <w:p w:rsidR="00825B2F" w:rsidRDefault="00825B2F" w:rsidP="00CB6F80">
            <w:pPr>
              <w:rPr>
                <w:b/>
                <w:sz w:val="24"/>
                <w:szCs w:val="24"/>
              </w:rPr>
            </w:pPr>
          </w:p>
          <w:p w:rsidR="00825B2F" w:rsidRDefault="00825B2F" w:rsidP="00CB6F80">
            <w:pPr>
              <w:rPr>
                <w:b/>
                <w:sz w:val="24"/>
                <w:szCs w:val="24"/>
              </w:rPr>
            </w:pPr>
            <w:r w:rsidRPr="002822B6">
              <w:rPr>
                <w:b/>
                <w:sz w:val="24"/>
                <w:szCs w:val="24"/>
              </w:rPr>
              <w:t xml:space="preserve"> </w:t>
            </w:r>
          </w:p>
          <w:p w:rsidR="00825B2F" w:rsidRPr="002822B6" w:rsidRDefault="00825B2F" w:rsidP="00CB6F80">
            <w:pPr>
              <w:rPr>
                <w:b/>
                <w:sz w:val="24"/>
                <w:szCs w:val="24"/>
              </w:rPr>
            </w:pPr>
          </w:p>
        </w:tc>
        <w:tc>
          <w:tcPr>
            <w:tcW w:w="6463" w:type="dxa"/>
          </w:tcPr>
          <w:p w:rsidR="00825B2F" w:rsidRDefault="00825B2F" w:rsidP="00CB6F80">
            <w:pPr>
              <w:jc w:val="both"/>
              <w:rPr>
                <w:b/>
              </w:rPr>
            </w:pPr>
            <w:r w:rsidRPr="002822B6">
              <w:rPr>
                <w:b/>
                <w:highlight w:val="cyan"/>
              </w:rPr>
              <w:t xml:space="preserve">Violazioni in materia di </w:t>
            </w:r>
            <w:r>
              <w:rPr>
                <w:b/>
                <w:highlight w:val="cyan"/>
              </w:rPr>
              <w:t>indicazioni obbligatorie per i prodotti non destinati al consumatore finale</w:t>
            </w:r>
            <w:r w:rsidRPr="002822B6">
              <w:rPr>
                <w:b/>
                <w:highlight w:val="cyan"/>
              </w:rPr>
              <w:t xml:space="preserve"> (art.</w:t>
            </w:r>
            <w:r>
              <w:rPr>
                <w:b/>
                <w:highlight w:val="cyan"/>
              </w:rPr>
              <w:t>20</w:t>
            </w:r>
            <w:r w:rsidRPr="002822B6">
              <w:rPr>
                <w:b/>
                <w:highlight w:val="cyan"/>
              </w:rPr>
              <w:t xml:space="preserve"> del Decreto)</w:t>
            </w:r>
          </w:p>
          <w:p w:rsidR="00825B2F" w:rsidRDefault="00825B2F" w:rsidP="00825B2F">
            <w:pPr>
              <w:jc w:val="both"/>
              <w:rPr>
                <w:i/>
                <w:sz w:val="20"/>
                <w:szCs w:val="20"/>
              </w:rPr>
            </w:pPr>
            <w:r w:rsidRPr="000D6A69">
              <w:rPr>
                <w:b/>
                <w:i/>
                <w:sz w:val="20"/>
                <w:szCs w:val="20"/>
                <w:u w:val="single"/>
              </w:rPr>
              <w:t>Comma 1</w:t>
            </w:r>
            <w:r>
              <w:rPr>
                <w:i/>
                <w:sz w:val="20"/>
                <w:szCs w:val="20"/>
              </w:rPr>
              <w:t>- La omissione</w:t>
            </w:r>
            <w:r>
              <w:rPr>
                <w:i/>
                <w:sz w:val="20"/>
                <w:szCs w:val="20"/>
              </w:rPr>
              <w:t xml:space="preserve"> dell’obbligo sulle menzioni obbligatorie e sulle modalità di apposizione delle stesse nei prodotti alimentari non destinati al consumatore finale</w:t>
            </w:r>
          </w:p>
          <w:p w:rsidR="00825B2F" w:rsidRPr="00825B2F" w:rsidRDefault="00825B2F" w:rsidP="00CB6F80">
            <w:pPr>
              <w:jc w:val="both"/>
              <w:rPr>
                <w:b/>
                <w:sz w:val="24"/>
                <w:szCs w:val="24"/>
                <w:shd w:val="clear" w:color="auto" w:fill="F7CAAC" w:themeFill="accent2" w:themeFillTint="66"/>
              </w:rPr>
            </w:pPr>
            <w:r w:rsidRPr="000D6A69">
              <w:rPr>
                <w:b/>
                <w:sz w:val="24"/>
                <w:szCs w:val="24"/>
                <w:shd w:val="clear" w:color="auto" w:fill="F7CAAC" w:themeFill="accent2" w:themeFillTint="66"/>
              </w:rPr>
              <w:t xml:space="preserve">Da € </w:t>
            </w:r>
            <w:r>
              <w:rPr>
                <w:b/>
                <w:sz w:val="24"/>
                <w:szCs w:val="24"/>
                <w:shd w:val="clear" w:color="auto" w:fill="F7CAAC" w:themeFill="accent2" w:themeFillTint="66"/>
              </w:rPr>
              <w:t>500</w:t>
            </w:r>
            <w:r w:rsidRPr="000D6A69">
              <w:rPr>
                <w:b/>
                <w:sz w:val="24"/>
                <w:szCs w:val="24"/>
                <w:shd w:val="clear" w:color="auto" w:fill="F7CAAC" w:themeFill="accent2" w:themeFillTint="66"/>
              </w:rPr>
              <w:t xml:space="preserve"> a € </w:t>
            </w:r>
            <w:r>
              <w:rPr>
                <w:b/>
                <w:sz w:val="24"/>
                <w:szCs w:val="24"/>
                <w:shd w:val="clear" w:color="auto" w:fill="F7CAAC" w:themeFill="accent2" w:themeFillTint="66"/>
              </w:rPr>
              <w:t>4.000</w:t>
            </w:r>
            <w:bookmarkStart w:id="0" w:name="_GoBack"/>
            <w:bookmarkEnd w:id="0"/>
          </w:p>
        </w:tc>
      </w:tr>
    </w:tbl>
    <w:p w:rsidR="00034A7E" w:rsidRDefault="00034A7E" w:rsidP="00034A7E">
      <w:pPr>
        <w:rPr>
          <w:b/>
          <w:sz w:val="24"/>
          <w:szCs w:val="24"/>
        </w:rPr>
      </w:pPr>
    </w:p>
    <w:p w:rsidR="00034A7E" w:rsidRDefault="00034A7E" w:rsidP="00034A7E">
      <w:pPr>
        <w:rPr>
          <w:b/>
          <w:sz w:val="24"/>
          <w:szCs w:val="24"/>
        </w:rPr>
      </w:pPr>
    </w:p>
    <w:p w:rsidR="00034A7E" w:rsidRPr="00034A7E" w:rsidRDefault="00034A7E" w:rsidP="00034A7E">
      <w:pPr>
        <w:rPr>
          <w:b/>
          <w:sz w:val="24"/>
          <w:szCs w:val="24"/>
        </w:rPr>
      </w:pPr>
    </w:p>
    <w:sectPr w:rsidR="00034A7E" w:rsidRPr="00034A7E" w:rsidSect="003C7D0F">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7E"/>
    <w:rsid w:val="00034A7E"/>
    <w:rsid w:val="000C7B32"/>
    <w:rsid w:val="000D6A69"/>
    <w:rsid w:val="00156959"/>
    <w:rsid w:val="00265C68"/>
    <w:rsid w:val="002822B6"/>
    <w:rsid w:val="002C67F3"/>
    <w:rsid w:val="00392E7F"/>
    <w:rsid w:val="003C7D0F"/>
    <w:rsid w:val="003D299E"/>
    <w:rsid w:val="003E51E3"/>
    <w:rsid w:val="00600970"/>
    <w:rsid w:val="007871FF"/>
    <w:rsid w:val="008129B3"/>
    <w:rsid w:val="00825B2F"/>
    <w:rsid w:val="00996113"/>
    <w:rsid w:val="00A66AE2"/>
    <w:rsid w:val="00BC6B09"/>
    <w:rsid w:val="00DF11E7"/>
    <w:rsid w:val="00E17B52"/>
    <w:rsid w:val="00F15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1095"/>
  <w15:chartTrackingRefBased/>
  <w15:docId w15:val="{4ED00FC9-9300-42A8-B679-CCF8126B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34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1355</Words>
  <Characters>7730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Armando@fiva.local</dc:creator>
  <cp:keywords/>
  <dc:description/>
  <cp:lastModifiedBy>Armando@fiva.local</cp:lastModifiedBy>
  <cp:revision>1</cp:revision>
  <dcterms:created xsi:type="dcterms:W3CDTF">2018-03-16T10:56:00Z</dcterms:created>
  <dcterms:modified xsi:type="dcterms:W3CDTF">2018-03-16T14:06:00Z</dcterms:modified>
</cp:coreProperties>
</file>